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548521DB" w:rsidR="00B71ED2" w:rsidRPr="0044629E"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6102F6" w:rsidRPr="0044629E">
        <w:rPr>
          <w:rFonts w:cs="Arial"/>
          <w:b/>
          <w:noProof/>
          <w:sz w:val="24"/>
          <w:szCs w:val="24"/>
          <w:lang w:val="de-DE"/>
        </w:rPr>
        <w:t>10</w:t>
      </w:r>
      <w:r w:rsidR="002E2116">
        <w:rPr>
          <w:rFonts w:cs="Arial"/>
          <w:b/>
          <w:noProof/>
          <w:sz w:val="24"/>
          <w:szCs w:val="24"/>
          <w:lang w:val="de-DE"/>
        </w:rPr>
        <w:t>6</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6102F6" w:rsidRPr="0044629E">
        <w:rPr>
          <w:rFonts w:eastAsia="宋体" w:cs="Arial"/>
          <w:b/>
          <w:noProof/>
          <w:sz w:val="24"/>
          <w:szCs w:val="24"/>
          <w:lang w:val="de-DE" w:eastAsia="zh-CN"/>
        </w:rPr>
        <w:t>2</w:t>
      </w:r>
      <w:r w:rsidR="006102F6">
        <w:rPr>
          <w:rFonts w:eastAsia="宋体" w:cs="Arial"/>
          <w:b/>
          <w:noProof/>
          <w:sz w:val="24"/>
          <w:szCs w:val="24"/>
          <w:lang w:val="de-DE" w:eastAsia="zh-CN"/>
        </w:rPr>
        <w:t>10</w:t>
      </w:r>
      <w:r w:rsidR="008D0745">
        <w:rPr>
          <w:rFonts w:eastAsia="宋体" w:cs="Arial"/>
          <w:b/>
          <w:noProof/>
          <w:sz w:val="24"/>
          <w:szCs w:val="24"/>
          <w:lang w:val="de-DE" w:eastAsia="zh-CN"/>
        </w:rPr>
        <w:t>7029</w:t>
      </w:r>
    </w:p>
    <w:bookmarkEnd w:id="0"/>
    <w:p w14:paraId="37D6B93A" w14:textId="6FC4E38C" w:rsidR="00A67E9C" w:rsidRPr="0044629E" w:rsidRDefault="007318C4" w:rsidP="00AB3E8F">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2E2116">
        <w:rPr>
          <w:rFonts w:ascii="Arial" w:eastAsia="MS Mincho" w:hAnsi="Arial" w:cs="Arial"/>
          <w:b/>
          <w:bCs/>
          <w:lang w:eastAsia="ja-JP"/>
        </w:rPr>
        <w:t>August</w:t>
      </w:r>
      <w:r w:rsidR="006102F6" w:rsidRPr="00CC3C12">
        <w:rPr>
          <w:rFonts w:ascii="Arial" w:eastAsia="MS Mincho" w:hAnsi="Arial" w:cs="Arial"/>
          <w:b/>
          <w:bCs/>
          <w:lang w:eastAsia="ja-JP"/>
        </w:rPr>
        <w:t xml:space="preserve"> 1</w:t>
      </w:r>
      <w:r w:rsidR="002E2116">
        <w:rPr>
          <w:rFonts w:ascii="Arial" w:eastAsia="MS Mincho" w:hAnsi="Arial" w:cs="Arial"/>
          <w:b/>
          <w:bCs/>
          <w:lang w:eastAsia="ja-JP"/>
        </w:rPr>
        <w:t>6</w:t>
      </w:r>
      <w:r w:rsidR="006102F6" w:rsidRPr="002E2116">
        <w:rPr>
          <w:rFonts w:ascii="Arial" w:eastAsia="MS Mincho" w:hAnsi="Arial" w:cs="Arial"/>
          <w:b/>
          <w:bCs/>
          <w:vertAlign w:val="superscript"/>
          <w:lang w:eastAsia="ja-JP"/>
        </w:rPr>
        <w:t>th</w:t>
      </w:r>
      <w:r w:rsidR="006102F6" w:rsidRPr="00CC3C12">
        <w:rPr>
          <w:rFonts w:ascii="Arial" w:eastAsia="MS Mincho" w:hAnsi="Arial" w:cs="Arial"/>
          <w:b/>
          <w:bCs/>
          <w:lang w:eastAsia="ja-JP"/>
        </w:rPr>
        <w:t xml:space="preserve"> – 27</w:t>
      </w:r>
      <w:r w:rsidR="006102F6" w:rsidRPr="002E2116">
        <w:rPr>
          <w:rFonts w:ascii="Arial" w:eastAsia="MS Mincho" w:hAnsi="Arial" w:cs="Arial"/>
          <w:b/>
          <w:bCs/>
          <w:vertAlign w:val="superscript"/>
          <w:lang w:eastAsia="ja-JP"/>
        </w:rPr>
        <w:t>th</w:t>
      </w:r>
      <w:r w:rsidRPr="0044629E">
        <w:rPr>
          <w:rFonts w:ascii="Arial" w:eastAsia="MS Mincho" w:hAnsi="Arial" w:cs="Arial"/>
          <w:b/>
          <w:bCs/>
          <w:noProof/>
          <w:lang w:val="en-GB"/>
        </w:rPr>
        <w:t>, 202</w:t>
      </w:r>
      <w:r w:rsidR="00F52494">
        <w:rPr>
          <w:rFonts w:ascii="Arial" w:eastAsia="MS Mincho" w:hAnsi="Arial" w:cs="Arial"/>
          <w:b/>
          <w:bCs/>
          <w:noProof/>
          <w:lang w:val="en-GB"/>
        </w:rPr>
        <w:t>1</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5C323368"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5BE6EF8"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w:t>
      </w:r>
      <w:r w:rsidR="002A6ED5">
        <w:rPr>
          <w:rFonts w:ascii="Arial" w:hAnsi="Arial" w:cs="Arial"/>
          <w:b/>
        </w:rPr>
        <w:t>M</w:t>
      </w:r>
      <w:r w:rsidR="007318C4" w:rsidRPr="007318C4">
        <w:rPr>
          <w:rFonts w:ascii="Arial" w:hAnsi="Arial" w:cs="Arial"/>
          <w:b/>
        </w:rPr>
        <w:t>ulti</w:t>
      </w:r>
      <w:r w:rsidR="002A6ED5">
        <w:rPr>
          <w:rFonts w:ascii="Arial" w:hAnsi="Arial" w:cs="Arial"/>
          <w:b/>
        </w:rPr>
        <w:t xml:space="preserve">-beam </w:t>
      </w:r>
      <w:r w:rsidR="00FD51F8">
        <w:rPr>
          <w:rFonts w:ascii="Arial" w:hAnsi="Arial" w:cs="Arial"/>
          <w:b/>
        </w:rPr>
        <w:t>O</w:t>
      </w:r>
      <w:r w:rsidR="002A6ED5">
        <w:rPr>
          <w:rFonts w:ascii="Arial" w:hAnsi="Arial" w:cs="Arial"/>
          <w:b/>
        </w:rPr>
        <w:t>peration</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4B1DB9EA"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745F81">
        <w:rPr>
          <w:rFonts w:eastAsia="MS Mincho"/>
          <w:szCs w:val="22"/>
          <w:lang w:eastAsia="ja-JP"/>
        </w:rPr>
        <w:t>92e</w:t>
      </w:r>
      <w:r w:rsidRPr="00023C28">
        <w:rPr>
          <w:rFonts w:eastAsia="MS Mincho"/>
          <w:szCs w:val="22"/>
          <w:lang w:eastAsia="ja-JP"/>
        </w:rPr>
        <w:t xml:space="preserve">, </w:t>
      </w:r>
      <w:r w:rsidR="00745F81">
        <w:rPr>
          <w:rFonts w:eastAsia="MS Mincho"/>
          <w:szCs w:val="22"/>
          <w:lang w:eastAsia="ja-JP"/>
        </w:rPr>
        <w:t>r</w:t>
      </w:r>
      <w:r w:rsidR="00745F81" w:rsidRPr="00745F81">
        <w:rPr>
          <w:rFonts w:eastAsia="MS Mincho"/>
          <w:szCs w:val="22"/>
          <w:lang w:eastAsia="ja-JP"/>
        </w:rPr>
        <w:t xml:space="preserve">evised WID </w:t>
      </w:r>
      <w:r w:rsidR="00745F81">
        <w:rPr>
          <w:rFonts w:eastAsia="MS Mincho"/>
          <w:szCs w:val="22"/>
          <w:lang w:eastAsia="ja-JP"/>
        </w:rPr>
        <w:t xml:space="preserve">of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1B99522C" w:rsidR="00533BE9" w:rsidRPr="008D278A" w:rsidRDefault="00533BE9" w:rsidP="00096001">
      <w:pPr>
        <w:pStyle w:val="LGTdoc"/>
        <w:numPr>
          <w:ilvl w:val="0"/>
          <w:numId w:val="6"/>
        </w:numPr>
        <w:spacing w:after="163" w:line="240" w:lineRule="auto"/>
        <w:rPr>
          <w:rFonts w:eastAsia="MS Mincho"/>
          <w:szCs w:val="22"/>
          <w:lang w:eastAsia="ja-JP"/>
        </w:rPr>
      </w:pPr>
      <w:r w:rsidRPr="008D278A">
        <w:rPr>
          <w:rFonts w:eastAsia="MS Mincho" w:hint="eastAsia"/>
          <w:szCs w:val="22"/>
          <w:lang w:eastAsia="ja-JP"/>
        </w:rPr>
        <w:t xml:space="preserve">Enhancement </w:t>
      </w:r>
      <w:r w:rsidR="00A16AF7" w:rsidRPr="008D278A">
        <w:rPr>
          <w:rFonts w:eastAsia="MS Mincho"/>
          <w:szCs w:val="22"/>
          <w:lang w:eastAsia="ja-JP"/>
        </w:rPr>
        <w:t>on multi-beam operation, mainly targeting FR2 while also applicable to FR1</w:t>
      </w:r>
      <w:r w:rsidRPr="008D278A">
        <w:rPr>
          <w:rFonts w:eastAsia="MS Mincho" w:hint="eastAsia"/>
          <w:szCs w:val="22"/>
          <w:lang w:eastAsia="ja-JP"/>
        </w:rPr>
        <w:t>:</w:t>
      </w:r>
    </w:p>
    <w:p w14:paraId="201FFE64" w14:textId="77777777" w:rsidR="00A16AF7" w:rsidRPr="008D278A" w:rsidRDefault="00A16AF7" w:rsidP="00096001">
      <w:pPr>
        <w:pStyle w:val="LGTdoc"/>
        <w:numPr>
          <w:ilvl w:val="1"/>
          <w:numId w:val="9"/>
        </w:numPr>
        <w:spacing w:after="163" w:line="240" w:lineRule="auto"/>
        <w:rPr>
          <w:rFonts w:eastAsia="MS Mincho"/>
          <w:szCs w:val="22"/>
          <w:lang w:eastAsia="ja-JP"/>
        </w:rPr>
      </w:pPr>
      <w:r w:rsidRPr="008D278A">
        <w:rPr>
          <w:rFonts w:eastAsia="MS Mincho"/>
          <w:szCs w:val="22"/>
          <w:lang w:eastAsia="ja-JP"/>
        </w:rPr>
        <w:t>Identify and specify features to facilitate more efficient (lower latency and overhead) DL/UL beam management to support higher intra- and L1/L2-centric inter-cell mobility and/or a larger number of configured TCI states:</w:t>
      </w:r>
    </w:p>
    <w:p w14:paraId="066F1594" w14:textId="77777777" w:rsidR="00A16AF7" w:rsidRPr="008D278A" w:rsidRDefault="00A16AF7" w:rsidP="00096001">
      <w:pPr>
        <w:pStyle w:val="LGTdoc"/>
        <w:numPr>
          <w:ilvl w:val="2"/>
          <w:numId w:val="10"/>
        </w:numPr>
        <w:spacing w:after="163" w:line="240" w:lineRule="auto"/>
        <w:rPr>
          <w:rFonts w:eastAsia="MS Mincho"/>
          <w:szCs w:val="22"/>
          <w:lang w:eastAsia="ja-JP"/>
        </w:rPr>
      </w:pPr>
      <w:r w:rsidRPr="008D278A">
        <w:rPr>
          <w:rFonts w:eastAsia="MS Mincho"/>
          <w:szCs w:val="22"/>
          <w:lang w:eastAsia="ja-JP"/>
        </w:rPr>
        <w:t>Common beam for data and control transmission/reception for DL and UL, especially for intra-band CA</w:t>
      </w:r>
    </w:p>
    <w:p w14:paraId="6E9B7AAC" w14:textId="77777777" w:rsidR="00A16AF7" w:rsidRPr="008D278A" w:rsidRDefault="00A16AF7" w:rsidP="00096001">
      <w:pPr>
        <w:pStyle w:val="LGTdoc"/>
        <w:numPr>
          <w:ilvl w:val="2"/>
          <w:numId w:val="10"/>
        </w:numPr>
        <w:spacing w:after="163" w:line="240" w:lineRule="auto"/>
        <w:rPr>
          <w:rFonts w:eastAsia="MS Mincho"/>
          <w:szCs w:val="22"/>
          <w:lang w:eastAsia="ja-JP"/>
        </w:rPr>
      </w:pPr>
      <w:r w:rsidRPr="008D278A">
        <w:rPr>
          <w:rFonts w:eastAsia="MS Mincho"/>
          <w:szCs w:val="22"/>
          <w:lang w:eastAsia="ja-JP"/>
        </w:rPr>
        <w:t>Unified TCI framework for DL and UL beam indication</w:t>
      </w:r>
    </w:p>
    <w:p w14:paraId="24D07668" w14:textId="3C43D857" w:rsidR="00190B93" w:rsidRPr="008D278A" w:rsidRDefault="00190B93" w:rsidP="00190B93">
      <w:pPr>
        <w:pStyle w:val="LGTdoc"/>
        <w:numPr>
          <w:ilvl w:val="2"/>
          <w:numId w:val="10"/>
        </w:numPr>
        <w:spacing w:after="163" w:line="240" w:lineRule="auto"/>
        <w:rPr>
          <w:rFonts w:eastAsia="MS Mincho"/>
          <w:szCs w:val="22"/>
          <w:lang w:eastAsia="ja-JP"/>
        </w:rPr>
      </w:pPr>
      <w:r w:rsidRPr="008D278A">
        <w:rPr>
          <w:rFonts w:eastAsia="MS Mincho"/>
          <w:szCs w:val="22"/>
          <w:lang w:eastAsia="ja-JP"/>
        </w:rPr>
        <w:t>Enhancement on signaling mechanisms for the above features to improve latency and efficiency with more usage of dynamic control signaling (as opposed to RRC)</w:t>
      </w:r>
    </w:p>
    <w:p w14:paraId="39CA3291" w14:textId="77777777" w:rsidR="00190B93" w:rsidRPr="008D278A" w:rsidRDefault="00190B93" w:rsidP="00190B93">
      <w:pPr>
        <w:pStyle w:val="LGTdoc"/>
        <w:numPr>
          <w:ilvl w:val="2"/>
          <w:numId w:val="10"/>
        </w:numPr>
        <w:spacing w:after="163" w:line="240" w:lineRule="auto"/>
        <w:rPr>
          <w:rFonts w:eastAsia="MS Mincho"/>
          <w:szCs w:val="22"/>
          <w:lang w:eastAsia="ja-JP"/>
        </w:rPr>
      </w:pPr>
      <w:r w:rsidRPr="008D278A">
        <w:rPr>
          <w:rFonts w:eastAsia="MS Mincho"/>
          <w:szCs w:val="22"/>
          <w:lang w:eastAsia="ja-JP"/>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D02BCB8" w14:textId="77777777"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The beam indication is based on Rel-17 unified TCI framework</w:t>
      </w:r>
    </w:p>
    <w:p w14:paraId="0D0EA2BB" w14:textId="77777777"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The same beam measurement/reporting mechanism will be reused for inter-cell mTRP</w:t>
      </w:r>
    </w:p>
    <w:p w14:paraId="11CF59B9" w14:textId="3301BC42" w:rsidR="00190B93" w:rsidRPr="008D278A" w:rsidRDefault="00190B93" w:rsidP="008D278A">
      <w:pPr>
        <w:numPr>
          <w:ilvl w:val="3"/>
          <w:numId w:val="26"/>
        </w:numPr>
        <w:overflowPunct w:val="0"/>
        <w:autoSpaceDE w:val="0"/>
        <w:autoSpaceDN w:val="0"/>
        <w:snapToGrid w:val="0"/>
        <w:spacing w:after="120"/>
        <w:ind w:left="1843" w:hanging="284"/>
        <w:textAlignment w:val="baseline"/>
        <w:rPr>
          <w:sz w:val="22"/>
          <w:szCs w:val="22"/>
        </w:rPr>
      </w:pPr>
      <w:r w:rsidRPr="008D278A">
        <w:rPr>
          <w:sz w:val="22"/>
          <w:szCs w:val="22"/>
        </w:rPr>
        <w:t>This work shall only consider intra-DU and intra-frequency cases</w:t>
      </w:r>
    </w:p>
    <w:p w14:paraId="5D8FCEAC" w14:textId="77777777" w:rsidR="00A16AF7" w:rsidRPr="008D278A" w:rsidRDefault="00A16AF7" w:rsidP="00096001">
      <w:pPr>
        <w:pStyle w:val="LGTdoc"/>
        <w:numPr>
          <w:ilvl w:val="1"/>
          <w:numId w:val="9"/>
        </w:numPr>
        <w:spacing w:after="163" w:line="240" w:lineRule="auto"/>
        <w:rPr>
          <w:rFonts w:eastAsia="MS Mincho"/>
          <w:szCs w:val="22"/>
          <w:lang w:eastAsia="ja-JP"/>
        </w:rPr>
      </w:pPr>
      <w:r w:rsidRPr="008D278A">
        <w:rPr>
          <w:rFonts w:eastAsia="MS Mincho"/>
          <w:szCs w:val="22"/>
          <w:lang w:eastAsia="ja-JP"/>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0A0659C1" w14:textId="4FC35B15" w:rsidR="00FC7F57" w:rsidRPr="00023C28" w:rsidRDefault="00375D22" w:rsidP="00C4330A">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 xml:space="preserve">the </w:t>
      </w:r>
      <w:r w:rsidR="00664803">
        <w:rPr>
          <w:rFonts w:eastAsia="MS Mincho"/>
          <w:szCs w:val="22"/>
          <w:lang w:eastAsia="ja-JP"/>
        </w:rPr>
        <w:t xml:space="preserve">enhancement on </w:t>
      </w:r>
      <w:r w:rsidR="00791A7A">
        <w:rPr>
          <w:rFonts w:eastAsia="MS Mincho"/>
          <w:szCs w:val="22"/>
          <w:lang w:eastAsia="ja-JP"/>
        </w:rPr>
        <w:t>m</w:t>
      </w:r>
      <w:r w:rsidR="00533BE9" w:rsidRPr="00023C28">
        <w:rPr>
          <w:rFonts w:eastAsia="MS Mincho"/>
          <w:szCs w:val="22"/>
          <w:lang w:eastAsia="ja-JP"/>
        </w:rPr>
        <w:t>ulti-</w:t>
      </w:r>
      <w:r w:rsidR="0079276C">
        <w:rPr>
          <w:rFonts w:eastAsia="MS Mincho"/>
          <w:szCs w:val="22"/>
          <w:lang w:eastAsia="ja-JP"/>
        </w:rPr>
        <w:t>beam operation</w:t>
      </w:r>
      <w:r w:rsidR="00A16AF7">
        <w:rPr>
          <w:rFonts w:eastAsia="MS Mincho"/>
          <w:szCs w:val="22"/>
          <w:lang w:eastAsia="ja-JP"/>
        </w:rPr>
        <w:t xml:space="preserve"> including</w:t>
      </w:r>
      <w:r w:rsidR="00A16AF7" w:rsidRPr="00A16AF7">
        <w:t xml:space="preserve"> </w:t>
      </w:r>
      <w:r w:rsidR="00A16AF7" w:rsidRPr="00A16AF7">
        <w:rPr>
          <w:rFonts w:eastAsia="MS Mincho"/>
          <w:szCs w:val="22"/>
          <w:lang w:eastAsia="ja-JP"/>
        </w:rPr>
        <w:t>L1-based beam indication</w:t>
      </w:r>
      <w:r w:rsidR="00A16AF7">
        <w:rPr>
          <w:rFonts w:eastAsia="MS Mincho"/>
          <w:szCs w:val="22"/>
          <w:lang w:eastAsia="ja-JP"/>
        </w:rPr>
        <w:t xml:space="preserve"> and UL multi-panel selection</w:t>
      </w:r>
      <w:r w:rsidR="00533BE9" w:rsidRPr="00023C28">
        <w:rPr>
          <w:rFonts w:eastAsia="MS Mincho"/>
          <w:szCs w:val="22"/>
          <w:lang w:eastAsia="ja-JP"/>
        </w:rPr>
        <w:t>.</w:t>
      </w:r>
    </w:p>
    <w:p w14:paraId="2DF7D626" w14:textId="6C540A9F" w:rsidR="00A17FC0" w:rsidRDefault="00A17FC0" w:rsidP="001011EE">
      <w:pPr>
        <w:spacing w:afterLines="50" w:after="163"/>
        <w:jc w:val="both"/>
        <w:rPr>
          <w:rFonts w:eastAsiaTheme="minorEastAsia"/>
          <w:b/>
          <w:sz w:val="22"/>
          <w:szCs w:val="22"/>
          <w:lang w:eastAsia="zh-CN"/>
        </w:rPr>
      </w:pPr>
    </w:p>
    <w:p w14:paraId="4B108690" w14:textId="0F9A23ED" w:rsidR="00E56DBD" w:rsidRPr="00A62A46" w:rsidRDefault="00F6083E" w:rsidP="00E56DBD">
      <w:pPr>
        <w:pStyle w:val="1"/>
        <w:spacing w:beforeLines="50" w:before="163" w:afterLines="50" w:after="163"/>
        <w:ind w:left="432" w:hanging="432"/>
        <w:jc w:val="both"/>
        <w:rPr>
          <w:rFonts w:eastAsia="宋体"/>
          <w:b/>
          <w:lang w:eastAsia="zh-CN"/>
        </w:rPr>
      </w:pPr>
      <w:r>
        <w:rPr>
          <w:rFonts w:eastAsia="宋体"/>
          <w:b/>
          <w:lang w:eastAsia="zh-CN"/>
        </w:rPr>
        <w:t>U</w:t>
      </w:r>
      <w:r w:rsidRPr="00F6083E">
        <w:rPr>
          <w:rFonts w:eastAsia="宋体"/>
          <w:b/>
          <w:lang w:eastAsia="zh-CN"/>
        </w:rPr>
        <w:t>nified TCI framework</w:t>
      </w:r>
    </w:p>
    <w:p w14:paraId="75B48090" w14:textId="19275B5B" w:rsidR="000164F6" w:rsidRDefault="000164F6" w:rsidP="000164F6">
      <w:pPr>
        <w:spacing w:afterLines="50" w:after="163"/>
        <w:rPr>
          <w:sz w:val="32"/>
          <w:lang w:eastAsia="ja-JP"/>
        </w:rPr>
      </w:pPr>
      <w:r>
        <w:rPr>
          <w:rFonts w:eastAsia="MS Mincho"/>
          <w:sz w:val="22"/>
          <w:szCs w:val="22"/>
          <w:lang w:eastAsia="ja-JP"/>
        </w:rPr>
        <w:t>In RAN1#</w:t>
      </w:r>
      <w:r w:rsidR="004265DE">
        <w:rPr>
          <w:rFonts w:eastAsia="MS Mincho"/>
          <w:sz w:val="22"/>
          <w:szCs w:val="22"/>
          <w:lang w:eastAsia="ja-JP"/>
        </w:rPr>
        <w:t>10</w:t>
      </w:r>
      <w:r w:rsidR="004B08D5">
        <w:rPr>
          <w:rFonts w:eastAsia="MS Mincho"/>
          <w:sz w:val="22"/>
          <w:szCs w:val="22"/>
          <w:lang w:eastAsia="ja-JP"/>
        </w:rPr>
        <w:t>5</w:t>
      </w:r>
      <w:r>
        <w:rPr>
          <w:rFonts w:eastAsia="MS Mincho"/>
          <w:sz w:val="22"/>
          <w:szCs w:val="22"/>
          <w:lang w:eastAsia="ja-JP"/>
        </w:rPr>
        <w:t xml:space="preserve">_e, the following agreements related to </w:t>
      </w:r>
      <w:r w:rsidR="00E92961" w:rsidRPr="00E92961">
        <w:rPr>
          <w:rFonts w:eastAsia="MS Mincho"/>
          <w:sz w:val="22"/>
          <w:szCs w:val="22"/>
          <w:lang w:eastAsia="ja-JP"/>
        </w:rPr>
        <w:t>L1-based beam indication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0164F6" w14:paraId="647D697A" w14:textId="77777777" w:rsidTr="008B5280">
        <w:tc>
          <w:tcPr>
            <w:tcW w:w="9737" w:type="dxa"/>
          </w:tcPr>
          <w:p w14:paraId="4C763257" w14:textId="77777777" w:rsidR="00BF29E4" w:rsidRPr="00BF29E4" w:rsidRDefault="00BF29E4" w:rsidP="00BF29E4">
            <w:pPr>
              <w:snapToGrid w:val="0"/>
              <w:jc w:val="both"/>
              <w:rPr>
                <w:rFonts w:cs="Times"/>
                <w:b/>
                <w:sz w:val="22"/>
                <w:szCs w:val="22"/>
                <w:highlight w:val="green"/>
              </w:rPr>
            </w:pPr>
            <w:r w:rsidRPr="00BF29E4">
              <w:rPr>
                <w:rFonts w:cs="Times"/>
                <w:b/>
                <w:sz w:val="22"/>
                <w:szCs w:val="22"/>
                <w:highlight w:val="green"/>
              </w:rPr>
              <w:t>Agreement</w:t>
            </w:r>
          </w:p>
          <w:p w14:paraId="6D760C3E" w14:textId="77777777" w:rsidR="00BF29E4" w:rsidRPr="00BF29E4" w:rsidRDefault="00BF29E4" w:rsidP="00BF29E4">
            <w:pPr>
              <w:snapToGrid w:val="0"/>
              <w:jc w:val="both"/>
              <w:rPr>
                <w:rFonts w:cs="Times"/>
                <w:sz w:val="22"/>
                <w:szCs w:val="22"/>
                <w:lang w:eastAsia="x-none"/>
              </w:rPr>
            </w:pPr>
            <w:r w:rsidRPr="00BF29E4">
              <w:rPr>
                <w:rFonts w:cs="Times"/>
                <w:sz w:val="22"/>
                <w:szCs w:val="22"/>
              </w:rPr>
              <w:t xml:space="preserve">For </w:t>
            </w:r>
            <w:r w:rsidRPr="00BF29E4">
              <w:rPr>
                <w:rFonts w:cs="Times"/>
                <w:bCs/>
                <w:sz w:val="22"/>
                <w:szCs w:val="22"/>
                <w:lang w:eastAsia="zh-CN"/>
              </w:rPr>
              <w:t>M=N=1, o</w:t>
            </w:r>
            <w:r w:rsidRPr="00BF29E4">
              <w:rPr>
                <w:rFonts w:cs="Times"/>
                <w:sz w:val="22"/>
                <w:szCs w:val="22"/>
              </w:rPr>
              <w:t xml:space="preserve">n Rel-17 unified TCI, for separate DL/UL TCI, </w:t>
            </w:r>
            <w:r w:rsidRPr="00BF29E4">
              <w:rPr>
                <w:rFonts w:cs="Times"/>
                <w:sz w:val="22"/>
                <w:szCs w:val="22"/>
                <w:lang w:eastAsia="x-none"/>
              </w:rPr>
              <w:t xml:space="preserve">one instance of beam indication using DCI formats 1_1/1_2 (with and without DL assignment) can be used as follows: </w:t>
            </w:r>
          </w:p>
          <w:p w14:paraId="64C0A227" w14:textId="77777777" w:rsidR="00BF29E4" w:rsidRPr="00BF29E4" w:rsidRDefault="00BF29E4" w:rsidP="00BF29E4">
            <w:pPr>
              <w:pStyle w:val="aff2"/>
              <w:numPr>
                <w:ilvl w:val="0"/>
                <w:numId w:val="24"/>
              </w:numPr>
              <w:snapToGrid w:val="0"/>
              <w:ind w:firstLineChars="0"/>
              <w:jc w:val="both"/>
              <w:rPr>
                <w:rFonts w:cs="Times"/>
                <w:sz w:val="22"/>
                <w:szCs w:val="22"/>
              </w:rPr>
            </w:pPr>
            <w:r w:rsidRPr="00BF29E4">
              <w:rPr>
                <w:rFonts w:cs="Times"/>
                <w:sz w:val="22"/>
                <w:szCs w:val="22"/>
              </w:rPr>
              <w:t>One TCI field codepoint represents a pair of DL TCI state and UL TCI state. If the DCI indicates such a TCI field codepoint, the UE applies the corresponding DL TCI state and UL TCI state.</w:t>
            </w:r>
          </w:p>
          <w:p w14:paraId="4D19A748" w14:textId="77777777" w:rsidR="00BF29E4" w:rsidRPr="00BF29E4" w:rsidRDefault="00BF29E4" w:rsidP="00BF29E4">
            <w:pPr>
              <w:pStyle w:val="aff2"/>
              <w:numPr>
                <w:ilvl w:val="0"/>
                <w:numId w:val="24"/>
              </w:numPr>
              <w:snapToGrid w:val="0"/>
              <w:ind w:firstLineChars="0"/>
              <w:jc w:val="both"/>
              <w:rPr>
                <w:rFonts w:cs="Times"/>
                <w:sz w:val="22"/>
                <w:szCs w:val="22"/>
              </w:rPr>
            </w:pPr>
            <w:r w:rsidRPr="00BF29E4">
              <w:rPr>
                <w:rFonts w:cs="Times"/>
                <w:sz w:val="22"/>
                <w:szCs w:val="22"/>
              </w:rPr>
              <w:lastRenderedPageBreak/>
              <w:t>One TCI field codepoint represents only a DL TCI state. If the DCI indicates such a TCI field codepoint, the UE applies the corresponding DL TCI state, and keeps the current UL TCI state.</w:t>
            </w:r>
          </w:p>
          <w:p w14:paraId="6C334B52" w14:textId="77777777" w:rsidR="00BF29E4" w:rsidRPr="00BF29E4" w:rsidRDefault="00BF29E4" w:rsidP="00BF29E4">
            <w:pPr>
              <w:pStyle w:val="aff2"/>
              <w:numPr>
                <w:ilvl w:val="0"/>
                <w:numId w:val="24"/>
              </w:numPr>
              <w:snapToGrid w:val="0"/>
              <w:ind w:firstLineChars="0"/>
              <w:jc w:val="both"/>
              <w:rPr>
                <w:rFonts w:cs="Times"/>
                <w:sz w:val="22"/>
                <w:szCs w:val="22"/>
              </w:rPr>
            </w:pPr>
            <w:r w:rsidRPr="00BF29E4">
              <w:rPr>
                <w:rFonts w:cs="Times"/>
                <w:sz w:val="22"/>
                <w:szCs w:val="22"/>
              </w:rPr>
              <w:t>One TCI field codepoint represents only an UL TCI state. If the DCI indicates such a TCI field codepoint, the UE applies the corresponding UL TCI state, and keeps the current DL TCI state.</w:t>
            </w:r>
          </w:p>
          <w:p w14:paraId="5A73DFDA" w14:textId="0201DDE9" w:rsidR="00BF29E4" w:rsidRPr="00BF29E4" w:rsidRDefault="00BF29E4" w:rsidP="00F6083E">
            <w:pPr>
              <w:snapToGrid w:val="0"/>
              <w:rPr>
                <w:rFonts w:cs="Times"/>
                <w:sz w:val="22"/>
                <w:szCs w:val="22"/>
              </w:rPr>
            </w:pPr>
            <w:r w:rsidRPr="00BF29E4">
              <w:rPr>
                <w:rFonts w:cs="Times"/>
                <w:bCs/>
                <w:sz w:val="22"/>
                <w:szCs w:val="22"/>
                <w:lang w:eastAsia="zh-CN"/>
              </w:rPr>
              <w:t>FFS: the cases of M or N&gt;1</w:t>
            </w:r>
          </w:p>
          <w:p w14:paraId="31428CCB" w14:textId="77777777" w:rsidR="00BF29E4" w:rsidRPr="00BF29E4" w:rsidRDefault="00BF29E4" w:rsidP="00F6083E">
            <w:pPr>
              <w:snapToGrid w:val="0"/>
              <w:rPr>
                <w:b/>
                <w:bCs/>
                <w:sz w:val="22"/>
                <w:szCs w:val="22"/>
                <w:highlight w:val="green"/>
              </w:rPr>
            </w:pPr>
          </w:p>
          <w:p w14:paraId="47C4C829" w14:textId="2A5F9E24" w:rsidR="00F6083E" w:rsidRPr="00BF29E4" w:rsidRDefault="00F6083E" w:rsidP="00F6083E">
            <w:pPr>
              <w:snapToGrid w:val="0"/>
              <w:rPr>
                <w:b/>
                <w:bCs/>
                <w:sz w:val="22"/>
                <w:szCs w:val="22"/>
              </w:rPr>
            </w:pPr>
            <w:r w:rsidRPr="00BF29E4">
              <w:rPr>
                <w:b/>
                <w:bCs/>
                <w:sz w:val="22"/>
                <w:szCs w:val="22"/>
                <w:highlight w:val="green"/>
              </w:rPr>
              <w:t>Agreement</w:t>
            </w:r>
          </w:p>
          <w:p w14:paraId="633FAE73" w14:textId="77777777" w:rsidR="00F6083E" w:rsidRPr="00BF29E4" w:rsidRDefault="00F6083E" w:rsidP="00F6083E">
            <w:pPr>
              <w:snapToGrid w:val="0"/>
              <w:jc w:val="both"/>
              <w:rPr>
                <w:sz w:val="22"/>
                <w:szCs w:val="22"/>
              </w:rPr>
            </w:pPr>
            <w:r w:rsidRPr="00BF29E4">
              <w:rPr>
                <w:sz w:val="22"/>
                <w:szCs w:val="22"/>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1D145EA7" w14:textId="03C6BD1D" w:rsidR="00F6083E" w:rsidRPr="00BF29E4" w:rsidRDefault="00F6083E" w:rsidP="00F6083E">
            <w:pPr>
              <w:pStyle w:val="aff2"/>
              <w:numPr>
                <w:ilvl w:val="0"/>
                <w:numId w:val="20"/>
              </w:numPr>
              <w:snapToGrid w:val="0"/>
              <w:ind w:firstLineChars="0"/>
              <w:jc w:val="both"/>
              <w:rPr>
                <w:sz w:val="22"/>
                <w:szCs w:val="22"/>
              </w:rPr>
            </w:pPr>
            <w:r w:rsidRPr="00BF29E4">
              <w:rPr>
                <w:sz w:val="22"/>
                <w:szCs w:val="22"/>
              </w:rPr>
              <w:t>Alt1. Rel-15/16 TCI state update signaling/configuration mechanism(s) are reused to update/</w:t>
            </w:r>
            <w:r w:rsidR="004E51A6" w:rsidRPr="00BF29E4">
              <w:rPr>
                <w:sz w:val="22"/>
                <w:szCs w:val="22"/>
              </w:rPr>
              <w:t xml:space="preserve"> </w:t>
            </w:r>
            <w:r w:rsidRPr="00BF29E4">
              <w:rPr>
                <w:sz w:val="22"/>
                <w:szCs w:val="22"/>
              </w:rPr>
              <w:t xml:space="preserve">configure the Rel-17 TCI state </w:t>
            </w:r>
          </w:p>
          <w:p w14:paraId="317FDD39" w14:textId="77777777" w:rsidR="00F6083E" w:rsidRPr="00BF29E4" w:rsidRDefault="00F6083E" w:rsidP="00F6083E">
            <w:pPr>
              <w:pStyle w:val="aff2"/>
              <w:numPr>
                <w:ilvl w:val="0"/>
                <w:numId w:val="20"/>
              </w:numPr>
              <w:snapToGrid w:val="0"/>
              <w:ind w:firstLineChars="0"/>
              <w:jc w:val="both"/>
              <w:rPr>
                <w:sz w:val="22"/>
                <w:szCs w:val="22"/>
              </w:rPr>
            </w:pPr>
            <w:r w:rsidRPr="00BF29E4">
              <w:rPr>
                <w:sz w:val="22"/>
                <w:szCs w:val="22"/>
              </w:rPr>
              <w:t>Alt2. Rel-17 TCI state update signaling/configuration mechanism(s) are used, e.g. with Rel-17 MAC-CE/DCI-based beam indication for Rel-17 joint/separate TCI</w:t>
            </w:r>
          </w:p>
          <w:p w14:paraId="1156A229" w14:textId="77777777" w:rsidR="00F6083E" w:rsidRPr="00BF29E4" w:rsidRDefault="00F6083E" w:rsidP="00F6083E">
            <w:pPr>
              <w:snapToGrid w:val="0"/>
              <w:jc w:val="both"/>
              <w:rPr>
                <w:sz w:val="22"/>
                <w:szCs w:val="22"/>
              </w:rPr>
            </w:pPr>
            <w:r w:rsidRPr="00BF29E4">
              <w:rPr>
                <w:sz w:val="22"/>
                <w:szCs w:val="22"/>
              </w:rPr>
              <w:t>Note: The DL RS includes CSI-RS and DMRS for PDSCH or PDCCH</w:t>
            </w:r>
          </w:p>
          <w:p w14:paraId="4397B930" w14:textId="77777777" w:rsidR="00F6083E" w:rsidRPr="00BF29E4" w:rsidRDefault="00F6083E" w:rsidP="00F6083E">
            <w:pPr>
              <w:snapToGrid w:val="0"/>
              <w:jc w:val="both"/>
              <w:rPr>
                <w:sz w:val="22"/>
                <w:szCs w:val="22"/>
              </w:rPr>
            </w:pPr>
            <w:r w:rsidRPr="00BF29E4">
              <w:rPr>
                <w:sz w:val="22"/>
                <w:szCs w:val="22"/>
              </w:rPr>
              <w:t>Note: For some channels/signals, only one of the above two alternatives may apply (to be discussed).</w:t>
            </w:r>
          </w:p>
          <w:p w14:paraId="73D8F008" w14:textId="6298A47B" w:rsidR="000164F6" w:rsidRPr="00BD201C" w:rsidRDefault="000164F6" w:rsidP="00BD201C">
            <w:pPr>
              <w:rPr>
                <w:sz w:val="22"/>
                <w:szCs w:val="20"/>
                <w:lang w:eastAsia="x-none"/>
              </w:rPr>
            </w:pPr>
          </w:p>
        </w:tc>
      </w:tr>
    </w:tbl>
    <w:p w14:paraId="7D335C69" w14:textId="19F45118" w:rsidR="007E423B" w:rsidRPr="00CC5A36" w:rsidRDefault="002D62B6" w:rsidP="00CC5A36">
      <w:pPr>
        <w:pStyle w:val="LGTdoc"/>
        <w:spacing w:before="100" w:beforeAutospacing="1" w:afterLines="0" w:after="100" w:afterAutospacing="1" w:line="240" w:lineRule="auto"/>
        <w:rPr>
          <w:rFonts w:eastAsia="MS Mincho"/>
          <w:szCs w:val="22"/>
          <w:lang w:eastAsia="ja-JP"/>
        </w:rPr>
      </w:pPr>
      <w:r w:rsidRPr="00CC5A36">
        <w:rPr>
          <w:rFonts w:eastAsia="MS Mincho"/>
          <w:szCs w:val="22"/>
          <w:lang w:eastAsia="ja-JP"/>
        </w:rPr>
        <w:lastRenderedPageBreak/>
        <w:t>I</w:t>
      </w:r>
      <w:r w:rsidR="00D40338" w:rsidRPr="00CC5A36">
        <w:rPr>
          <w:rFonts w:eastAsia="MS Mincho"/>
          <w:szCs w:val="22"/>
          <w:lang w:eastAsia="ja-JP"/>
        </w:rPr>
        <w:t xml:space="preserve">n </w:t>
      </w:r>
      <w:r>
        <w:rPr>
          <w:rFonts w:eastAsia="MS Mincho"/>
          <w:szCs w:val="22"/>
          <w:lang w:eastAsia="ja-JP"/>
        </w:rPr>
        <w:t xml:space="preserve">the previous meeting, two alternatives are provided for </w:t>
      </w:r>
      <w:r w:rsidR="00F40728">
        <w:rPr>
          <w:rFonts w:eastAsia="MS Mincho"/>
          <w:szCs w:val="22"/>
          <w:lang w:eastAsia="ja-JP"/>
        </w:rPr>
        <w:t xml:space="preserve">using Rel-17 TCI states to indicate DL RS not applicable to </w:t>
      </w:r>
      <w:r>
        <w:rPr>
          <w:rFonts w:eastAsia="MS Mincho"/>
          <w:szCs w:val="22"/>
          <w:lang w:eastAsia="ja-JP"/>
        </w:rPr>
        <w:t xml:space="preserve">the </w:t>
      </w:r>
      <w:r w:rsidR="00F40728">
        <w:rPr>
          <w:rFonts w:eastAsia="MS Mincho"/>
          <w:szCs w:val="22"/>
          <w:lang w:eastAsia="ja-JP"/>
        </w:rPr>
        <w:t>common beam indication</w:t>
      </w:r>
      <w:r w:rsidR="003F6861" w:rsidRPr="00CC5A36">
        <w:rPr>
          <w:rFonts w:eastAsia="MS Mincho"/>
          <w:szCs w:val="22"/>
          <w:lang w:eastAsia="ja-JP"/>
        </w:rPr>
        <w:t>.</w:t>
      </w:r>
      <w:r w:rsidR="00F40728" w:rsidRPr="00CC5A36">
        <w:rPr>
          <w:rFonts w:eastAsia="MS Mincho"/>
          <w:szCs w:val="22"/>
          <w:lang w:eastAsia="ja-JP"/>
        </w:rPr>
        <w:t xml:space="preserve"> A down-selection between Rel-15/16 mechanism and Rel-17 mechanism is necessary. In our view, there is no critical problem for the beam indication if Rel-15/16 mechanism is reused. </w:t>
      </w:r>
      <w:r w:rsidR="00184671">
        <w:rPr>
          <w:rFonts w:eastAsia="MS Mincho"/>
          <w:szCs w:val="22"/>
          <w:lang w:eastAsia="ja-JP"/>
        </w:rPr>
        <w:t>Hence, we have the following proposal.</w:t>
      </w:r>
    </w:p>
    <w:p w14:paraId="1C5599CE" w14:textId="59D5C51A" w:rsidR="00261B0A" w:rsidRDefault="00261B0A" w:rsidP="00261B0A">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A014E4">
        <w:rPr>
          <w:rFonts w:eastAsia="宋体"/>
          <w:b/>
          <w:sz w:val="22"/>
          <w:szCs w:val="20"/>
          <w:lang w:val="en-GB" w:eastAsia="zh-CN"/>
        </w:rPr>
        <w:t>1</w:t>
      </w:r>
      <w:r w:rsidRPr="00023C28">
        <w:rPr>
          <w:rFonts w:eastAsia="宋体"/>
          <w:b/>
          <w:sz w:val="22"/>
          <w:szCs w:val="20"/>
          <w:lang w:val="en-GB" w:eastAsia="zh-CN"/>
        </w:rPr>
        <w:t xml:space="preserve">: </w:t>
      </w:r>
      <w:r w:rsidR="004C435F">
        <w:rPr>
          <w:rFonts w:eastAsia="宋体"/>
          <w:b/>
          <w:i/>
          <w:sz w:val="22"/>
          <w:szCs w:val="20"/>
          <w:lang w:val="en-GB" w:eastAsia="zh-CN"/>
        </w:rPr>
        <w:t xml:space="preserve">For the </w:t>
      </w:r>
      <w:r w:rsidR="00CA16EA">
        <w:rPr>
          <w:rFonts w:eastAsia="宋体"/>
          <w:b/>
          <w:i/>
          <w:sz w:val="22"/>
          <w:szCs w:val="20"/>
          <w:lang w:val="en-GB" w:eastAsia="zh-CN"/>
        </w:rPr>
        <w:t xml:space="preserve">down-selection of </w:t>
      </w:r>
      <w:r w:rsidR="000645FA" w:rsidRPr="000645FA">
        <w:rPr>
          <w:rFonts w:eastAsia="宋体"/>
          <w:b/>
          <w:i/>
          <w:sz w:val="22"/>
          <w:szCs w:val="20"/>
          <w:lang w:val="en-GB" w:eastAsia="zh-CN"/>
        </w:rPr>
        <w:t xml:space="preserve">DL RS that does not share the same indicated Rel-17 TCI state(s) as UE-dedicated reception on PDSCH and for UE-dedicated reception on all or subset of CORESETs in a </w:t>
      </w:r>
      <w:r w:rsidR="00EB36C3" w:rsidRPr="000645FA">
        <w:rPr>
          <w:rFonts w:eastAsia="宋体"/>
          <w:b/>
          <w:i/>
          <w:sz w:val="22"/>
          <w:szCs w:val="20"/>
          <w:lang w:val="en-GB" w:eastAsia="zh-CN"/>
        </w:rPr>
        <w:t>CC but</w:t>
      </w:r>
      <w:r w:rsidR="000645FA" w:rsidRPr="000645FA">
        <w:rPr>
          <w:rFonts w:eastAsia="宋体"/>
          <w:b/>
          <w:i/>
          <w:sz w:val="22"/>
          <w:szCs w:val="20"/>
          <w:lang w:val="en-GB" w:eastAsia="zh-CN"/>
        </w:rPr>
        <w:t xml:space="preserve"> can be configured as a target DL RS of a Rel-17 DL TCI</w:t>
      </w:r>
      <w:r w:rsidR="000645FA">
        <w:rPr>
          <w:rFonts w:eastAsia="宋体"/>
          <w:b/>
          <w:i/>
          <w:sz w:val="22"/>
          <w:szCs w:val="20"/>
          <w:lang w:val="en-GB" w:eastAsia="zh-CN"/>
        </w:rPr>
        <w:t xml:space="preserve">, support Alt1. </w:t>
      </w:r>
    </w:p>
    <w:p w14:paraId="7A994E88" w14:textId="5CDA3562" w:rsidR="000645FA" w:rsidRDefault="000645FA" w:rsidP="000645FA">
      <w:pPr>
        <w:pStyle w:val="aff2"/>
        <w:numPr>
          <w:ilvl w:val="0"/>
          <w:numId w:val="8"/>
        </w:numPr>
        <w:ind w:firstLineChars="0"/>
        <w:rPr>
          <w:rFonts w:eastAsia="宋体"/>
          <w:b/>
          <w:i/>
          <w:sz w:val="22"/>
          <w:szCs w:val="20"/>
          <w:lang w:val="en-GB" w:eastAsia="zh-CN"/>
        </w:rPr>
      </w:pPr>
      <w:r w:rsidRPr="000645FA">
        <w:rPr>
          <w:rFonts w:eastAsia="宋体"/>
          <w:b/>
          <w:i/>
          <w:sz w:val="22"/>
          <w:szCs w:val="20"/>
          <w:lang w:val="en-GB" w:eastAsia="zh-CN"/>
        </w:rPr>
        <w:t xml:space="preserve">Alt1. Rel-15/16 TCI state update signaling/configuration mechanism(s) are reused to update/ configure the Rel-17 TCI state </w:t>
      </w:r>
    </w:p>
    <w:p w14:paraId="6A3AB9E9" w14:textId="69FB155B" w:rsidR="004B08D5" w:rsidRDefault="004B08D5" w:rsidP="00FF079F">
      <w:pPr>
        <w:pStyle w:val="a5"/>
        <w:spacing w:afterLines="50" w:after="163" w:line="240" w:lineRule="exact"/>
        <w:jc w:val="both"/>
        <w:rPr>
          <w:rFonts w:eastAsia="宋体"/>
          <w:b/>
          <w:i/>
          <w:sz w:val="22"/>
          <w:szCs w:val="20"/>
          <w:lang w:val="en-GB" w:eastAsia="zh-CN"/>
        </w:rPr>
      </w:pPr>
    </w:p>
    <w:p w14:paraId="23E8DA90" w14:textId="13A04827" w:rsidR="004B08D5" w:rsidRPr="00A62A46" w:rsidRDefault="004B08D5" w:rsidP="004B08D5">
      <w:pPr>
        <w:pStyle w:val="1"/>
        <w:spacing w:beforeLines="50" w:before="163" w:afterLines="50" w:after="163"/>
        <w:ind w:left="432" w:hanging="432"/>
        <w:jc w:val="both"/>
        <w:rPr>
          <w:rFonts w:eastAsia="宋体"/>
          <w:b/>
          <w:lang w:eastAsia="zh-CN"/>
        </w:rPr>
      </w:pPr>
      <w:r w:rsidRPr="004B08D5">
        <w:rPr>
          <w:rFonts w:eastAsia="宋体"/>
          <w:b/>
          <w:lang w:eastAsia="zh-CN"/>
        </w:rPr>
        <w:t>L1/L2-centric inter-cell mobility</w:t>
      </w:r>
    </w:p>
    <w:p w14:paraId="37158674" w14:textId="2A7B7079" w:rsidR="004B08D5" w:rsidRDefault="004B08D5" w:rsidP="004B08D5">
      <w:pPr>
        <w:spacing w:afterLines="50" w:after="163"/>
        <w:rPr>
          <w:sz w:val="32"/>
          <w:lang w:eastAsia="ja-JP"/>
        </w:rPr>
      </w:pPr>
      <w:r>
        <w:rPr>
          <w:rFonts w:eastAsia="MS Mincho"/>
          <w:sz w:val="22"/>
          <w:szCs w:val="22"/>
          <w:lang w:eastAsia="ja-JP"/>
        </w:rPr>
        <w:t xml:space="preserve">In RAN1#105_e, the following agreements related to </w:t>
      </w:r>
      <w:r w:rsidRPr="00E92961">
        <w:rPr>
          <w:rFonts w:eastAsia="MS Mincho"/>
          <w:sz w:val="22"/>
          <w:szCs w:val="22"/>
          <w:lang w:eastAsia="ja-JP"/>
        </w:rPr>
        <w:t>L1-based beam indication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4B08D5" w14:paraId="13E2401E" w14:textId="77777777" w:rsidTr="000A7297">
        <w:tc>
          <w:tcPr>
            <w:tcW w:w="9737" w:type="dxa"/>
          </w:tcPr>
          <w:p w14:paraId="1F8EEE85" w14:textId="77777777" w:rsidR="0051635E" w:rsidRPr="005E3CD0" w:rsidRDefault="0051635E" w:rsidP="0051635E">
            <w:pPr>
              <w:snapToGrid w:val="0"/>
              <w:rPr>
                <w:b/>
                <w:bCs/>
                <w:sz w:val="22"/>
                <w:szCs w:val="22"/>
              </w:rPr>
            </w:pPr>
            <w:r w:rsidRPr="005E3CD0">
              <w:rPr>
                <w:b/>
                <w:bCs/>
                <w:sz w:val="22"/>
                <w:szCs w:val="22"/>
                <w:highlight w:val="green"/>
              </w:rPr>
              <w:t>Agreement</w:t>
            </w:r>
          </w:p>
          <w:p w14:paraId="49611685" w14:textId="77777777" w:rsidR="0051635E" w:rsidRPr="0051635E" w:rsidRDefault="0051635E" w:rsidP="0051635E">
            <w:pPr>
              <w:snapToGrid w:val="0"/>
              <w:jc w:val="both"/>
              <w:rPr>
                <w:sz w:val="22"/>
                <w:szCs w:val="22"/>
              </w:rPr>
            </w:pPr>
            <w:r w:rsidRPr="0051635E">
              <w:rPr>
                <w:sz w:val="22"/>
                <w:szCs w:val="22"/>
              </w:rPr>
              <w:t xml:space="preserve">On Rel.17 L1-RSRP multi-beam measurement/reporting enhancements </w:t>
            </w:r>
            <w:r w:rsidRPr="0051635E">
              <w:rPr>
                <w:color w:val="000000"/>
                <w:sz w:val="22"/>
                <w:szCs w:val="22"/>
              </w:rPr>
              <w:t>for L1/L2-centric inter-cell mobility and inter-cell mTRP</w:t>
            </w:r>
            <w:r w:rsidRPr="0051635E">
              <w:rPr>
                <w:sz w:val="22"/>
                <w:szCs w:val="22"/>
              </w:rPr>
              <w:t>,</w:t>
            </w:r>
          </w:p>
          <w:p w14:paraId="2CA9D19F" w14:textId="77777777" w:rsidR="0051635E" w:rsidRPr="0051635E" w:rsidRDefault="0051635E" w:rsidP="0051635E">
            <w:pPr>
              <w:pStyle w:val="aff2"/>
              <w:numPr>
                <w:ilvl w:val="0"/>
                <w:numId w:val="23"/>
              </w:numPr>
              <w:snapToGrid w:val="0"/>
              <w:ind w:firstLineChars="0"/>
              <w:jc w:val="both"/>
              <w:rPr>
                <w:sz w:val="22"/>
                <w:szCs w:val="22"/>
              </w:rPr>
            </w:pPr>
            <w:r w:rsidRPr="0051635E">
              <w:rPr>
                <w:sz w:val="22"/>
                <w:szCs w:val="22"/>
              </w:rPr>
              <w:t>Support at least K=4, where K is defined as the number of beams associated at least with non-serving cell(s) reported in a single CSI reporting instance</w:t>
            </w:r>
          </w:p>
          <w:p w14:paraId="09DB8A6B" w14:textId="77777777" w:rsidR="0051635E" w:rsidRPr="0051635E" w:rsidRDefault="0051635E" w:rsidP="0051635E">
            <w:pPr>
              <w:pStyle w:val="aff2"/>
              <w:numPr>
                <w:ilvl w:val="1"/>
                <w:numId w:val="23"/>
              </w:numPr>
              <w:snapToGrid w:val="0"/>
              <w:ind w:firstLineChars="0"/>
              <w:jc w:val="both"/>
              <w:rPr>
                <w:sz w:val="22"/>
                <w:szCs w:val="22"/>
              </w:rPr>
            </w:pPr>
            <w:r w:rsidRPr="0051635E">
              <w:rPr>
                <w:sz w:val="22"/>
                <w:szCs w:val="22"/>
              </w:rPr>
              <w:t>The maximum value of supported K is a UE capability</w:t>
            </w:r>
          </w:p>
          <w:p w14:paraId="4659F38D" w14:textId="77777777" w:rsidR="0051635E" w:rsidRPr="0051635E" w:rsidRDefault="0051635E" w:rsidP="0051635E">
            <w:pPr>
              <w:pStyle w:val="aff2"/>
              <w:numPr>
                <w:ilvl w:val="1"/>
                <w:numId w:val="23"/>
              </w:numPr>
              <w:snapToGrid w:val="0"/>
              <w:ind w:firstLineChars="0"/>
              <w:jc w:val="both"/>
              <w:rPr>
                <w:sz w:val="22"/>
                <w:szCs w:val="22"/>
              </w:rPr>
            </w:pPr>
            <w:r w:rsidRPr="0051635E">
              <w:rPr>
                <w:sz w:val="22"/>
                <w:szCs w:val="22"/>
              </w:rPr>
              <w:t xml:space="preserve">K is configured by NW based on the UE capability </w:t>
            </w:r>
          </w:p>
          <w:p w14:paraId="03E14969" w14:textId="77777777" w:rsidR="0051635E" w:rsidRPr="0051635E" w:rsidRDefault="0051635E" w:rsidP="0051635E">
            <w:pPr>
              <w:pStyle w:val="aff2"/>
              <w:numPr>
                <w:ilvl w:val="1"/>
                <w:numId w:val="23"/>
              </w:numPr>
              <w:snapToGrid w:val="0"/>
              <w:ind w:firstLineChars="0"/>
              <w:jc w:val="both"/>
              <w:rPr>
                <w:sz w:val="22"/>
                <w:szCs w:val="22"/>
              </w:rPr>
            </w:pPr>
            <w:r w:rsidRPr="0051635E">
              <w:rPr>
                <w:sz w:val="22"/>
                <w:szCs w:val="22"/>
              </w:rPr>
              <w:t>FFS: The support of K=8 and 16</w:t>
            </w:r>
          </w:p>
          <w:p w14:paraId="74C9E4CF" w14:textId="77777777" w:rsidR="0051635E" w:rsidRPr="0051635E" w:rsidRDefault="0051635E" w:rsidP="0051635E">
            <w:pPr>
              <w:pStyle w:val="aff2"/>
              <w:numPr>
                <w:ilvl w:val="2"/>
                <w:numId w:val="23"/>
              </w:numPr>
              <w:snapToGrid w:val="0"/>
              <w:ind w:firstLineChars="0"/>
              <w:jc w:val="both"/>
              <w:rPr>
                <w:sz w:val="22"/>
                <w:szCs w:val="22"/>
              </w:rPr>
            </w:pPr>
            <w:r w:rsidRPr="0051635E">
              <w:rPr>
                <w:sz w:val="22"/>
                <w:szCs w:val="22"/>
              </w:rPr>
              <w:t>For K&gt;4, the maximum number of beams associated with one cell is 4</w:t>
            </w:r>
          </w:p>
          <w:p w14:paraId="005BC4BA" w14:textId="77777777" w:rsidR="0051635E" w:rsidRPr="0051635E" w:rsidRDefault="0051635E" w:rsidP="0051635E">
            <w:pPr>
              <w:pStyle w:val="aff2"/>
              <w:numPr>
                <w:ilvl w:val="0"/>
                <w:numId w:val="23"/>
              </w:numPr>
              <w:snapToGrid w:val="0"/>
              <w:ind w:firstLineChars="0"/>
              <w:jc w:val="both"/>
              <w:rPr>
                <w:sz w:val="22"/>
                <w:szCs w:val="22"/>
              </w:rPr>
            </w:pPr>
            <w:r w:rsidRPr="0051635E">
              <w:rPr>
                <w:sz w:val="22"/>
                <w:szCs w:val="22"/>
              </w:rPr>
              <w:t>FFS: Support L1-based event-driven reporting based on Rel-16 SCell BFR framework or analogous to L3-based event-driven reporting, including the definition of L1-based event, if needed</w:t>
            </w:r>
          </w:p>
          <w:p w14:paraId="33B1649D" w14:textId="48354251" w:rsidR="0051635E" w:rsidRPr="0051635E" w:rsidRDefault="0051635E" w:rsidP="00D97528">
            <w:pPr>
              <w:snapToGrid w:val="0"/>
              <w:jc w:val="both"/>
              <w:rPr>
                <w:sz w:val="22"/>
                <w:szCs w:val="22"/>
              </w:rPr>
            </w:pPr>
            <w:r w:rsidRPr="0051635E">
              <w:rPr>
                <w:sz w:val="22"/>
                <w:szCs w:val="22"/>
              </w:rPr>
              <w:t>Note: If another beam metric other than L1-RSRP is supported (e.g. L3-RSRP is still FFS), the above also applies</w:t>
            </w:r>
          </w:p>
          <w:p w14:paraId="0276B874" w14:textId="77777777" w:rsidR="0051635E" w:rsidRPr="0051635E" w:rsidRDefault="0051635E" w:rsidP="00D97528">
            <w:pPr>
              <w:snapToGrid w:val="0"/>
              <w:jc w:val="both"/>
              <w:rPr>
                <w:b/>
                <w:bCs/>
                <w:sz w:val="22"/>
                <w:szCs w:val="22"/>
                <w:highlight w:val="green"/>
              </w:rPr>
            </w:pPr>
          </w:p>
          <w:p w14:paraId="36AFE2D8" w14:textId="376D9841" w:rsidR="00D97528" w:rsidRPr="0051635E" w:rsidRDefault="00D97528" w:rsidP="00D97528">
            <w:pPr>
              <w:snapToGrid w:val="0"/>
              <w:jc w:val="both"/>
              <w:rPr>
                <w:b/>
                <w:bCs/>
                <w:sz w:val="22"/>
                <w:szCs w:val="22"/>
                <w:lang w:eastAsia="ko-KR"/>
              </w:rPr>
            </w:pPr>
            <w:r w:rsidRPr="0051635E">
              <w:rPr>
                <w:b/>
                <w:bCs/>
                <w:sz w:val="22"/>
                <w:szCs w:val="22"/>
                <w:highlight w:val="green"/>
              </w:rPr>
              <w:t>Agreement</w:t>
            </w:r>
          </w:p>
          <w:p w14:paraId="149E437A" w14:textId="77777777" w:rsidR="00D97528" w:rsidRPr="0051635E" w:rsidRDefault="00D97528" w:rsidP="00D97528">
            <w:pPr>
              <w:snapToGrid w:val="0"/>
              <w:jc w:val="both"/>
              <w:rPr>
                <w:sz w:val="22"/>
                <w:szCs w:val="22"/>
              </w:rPr>
            </w:pPr>
            <w:r w:rsidRPr="0051635E">
              <w:rPr>
                <w:sz w:val="22"/>
                <w:szCs w:val="22"/>
              </w:rPr>
              <w:t>On Rel.17 L1-RSRP multi-beam measurement/reporting enhancements for L1/L2-centric inter-cell mobility and inter-cell mTRP, decide by RAN1#106-e whether to support the following RS types as measurement RS or not:</w:t>
            </w:r>
          </w:p>
          <w:p w14:paraId="168F4BFB" w14:textId="77777777" w:rsidR="00D97528" w:rsidRPr="0051635E" w:rsidRDefault="00D97528" w:rsidP="00D97528">
            <w:pPr>
              <w:pStyle w:val="aff2"/>
              <w:numPr>
                <w:ilvl w:val="0"/>
                <w:numId w:val="22"/>
              </w:numPr>
              <w:snapToGrid w:val="0"/>
              <w:ind w:firstLineChars="0"/>
              <w:jc w:val="both"/>
              <w:rPr>
                <w:sz w:val="22"/>
                <w:szCs w:val="22"/>
              </w:rPr>
            </w:pPr>
            <w:r w:rsidRPr="0051635E">
              <w:rPr>
                <w:sz w:val="22"/>
                <w:szCs w:val="22"/>
              </w:rPr>
              <w:lastRenderedPageBreak/>
              <w:t xml:space="preserve">CSI-RS for mobility/RRM associated with a non-serving cell  </w:t>
            </w:r>
          </w:p>
          <w:p w14:paraId="1262998E" w14:textId="77777777" w:rsidR="00D97528" w:rsidRPr="0051635E" w:rsidRDefault="00D97528" w:rsidP="00D97528">
            <w:pPr>
              <w:pStyle w:val="aff2"/>
              <w:numPr>
                <w:ilvl w:val="0"/>
                <w:numId w:val="22"/>
              </w:numPr>
              <w:snapToGrid w:val="0"/>
              <w:ind w:firstLineChars="0"/>
              <w:jc w:val="both"/>
              <w:rPr>
                <w:sz w:val="22"/>
                <w:szCs w:val="22"/>
              </w:rPr>
            </w:pPr>
            <w:r w:rsidRPr="0051635E">
              <w:rPr>
                <w:sz w:val="22"/>
                <w:szCs w:val="22"/>
              </w:rPr>
              <w:t xml:space="preserve">CSI-RS for BM associated with a non-serving cell  </w:t>
            </w:r>
          </w:p>
          <w:p w14:paraId="6BA986FE" w14:textId="77777777" w:rsidR="00D97528" w:rsidRPr="0051635E" w:rsidRDefault="00D97528" w:rsidP="00D97528">
            <w:pPr>
              <w:pStyle w:val="aff2"/>
              <w:numPr>
                <w:ilvl w:val="0"/>
                <w:numId w:val="22"/>
              </w:numPr>
              <w:snapToGrid w:val="0"/>
              <w:ind w:firstLineChars="0"/>
              <w:jc w:val="both"/>
              <w:rPr>
                <w:sz w:val="22"/>
                <w:szCs w:val="22"/>
              </w:rPr>
            </w:pPr>
            <w:r w:rsidRPr="0051635E">
              <w:rPr>
                <w:sz w:val="22"/>
                <w:szCs w:val="22"/>
              </w:rPr>
              <w:t xml:space="preserve">CSI-RS for tracking associated with a non-serving cell  </w:t>
            </w:r>
          </w:p>
          <w:p w14:paraId="61ACB722" w14:textId="77777777" w:rsidR="00D97528" w:rsidRPr="0051635E" w:rsidRDefault="00D97528" w:rsidP="00D97528">
            <w:pPr>
              <w:snapToGrid w:val="0"/>
              <w:jc w:val="both"/>
              <w:rPr>
                <w:sz w:val="22"/>
                <w:szCs w:val="22"/>
              </w:rPr>
            </w:pPr>
            <w:r w:rsidRPr="0051635E">
              <w:rPr>
                <w:sz w:val="22"/>
                <w:szCs w:val="22"/>
              </w:rPr>
              <w:t>Note: If another beam metric other than L1-RSRP is supported (e.g. L3-RSRP is still FFS), the above also applies</w:t>
            </w:r>
          </w:p>
          <w:p w14:paraId="241C1BCE" w14:textId="54F8C457" w:rsidR="00D97528" w:rsidRPr="0051635E" w:rsidRDefault="00D97528" w:rsidP="00384E25">
            <w:pPr>
              <w:snapToGrid w:val="0"/>
              <w:jc w:val="both"/>
              <w:rPr>
                <w:sz w:val="22"/>
                <w:szCs w:val="22"/>
              </w:rPr>
            </w:pPr>
            <w:r w:rsidRPr="0051635E">
              <w:rPr>
                <w:sz w:val="22"/>
                <w:szCs w:val="22"/>
              </w:rPr>
              <w:t>Note: An RS is associated with a non-serving cell means that it is either configured for a non-serving cell or configured for a serving cell but is QCLed with a non-serving cell SSB</w:t>
            </w:r>
          </w:p>
          <w:p w14:paraId="3519B7E0" w14:textId="77777777" w:rsidR="00D97528" w:rsidRPr="0051635E" w:rsidRDefault="00D97528" w:rsidP="00384E25">
            <w:pPr>
              <w:snapToGrid w:val="0"/>
              <w:jc w:val="both"/>
              <w:rPr>
                <w:rFonts w:eastAsia="宋体"/>
                <w:sz w:val="22"/>
                <w:szCs w:val="22"/>
                <w:highlight w:val="darkYellow"/>
              </w:rPr>
            </w:pPr>
          </w:p>
          <w:p w14:paraId="45330361" w14:textId="65637F5B" w:rsidR="00384E25" w:rsidRPr="0051635E" w:rsidRDefault="00384E25" w:rsidP="00384E25">
            <w:pPr>
              <w:snapToGrid w:val="0"/>
              <w:jc w:val="both"/>
              <w:rPr>
                <w:rFonts w:eastAsia="Malgun Gothic"/>
                <w:b/>
                <w:bCs/>
                <w:sz w:val="22"/>
                <w:szCs w:val="22"/>
                <w:highlight w:val="darkYellow"/>
              </w:rPr>
            </w:pPr>
            <w:r w:rsidRPr="0051635E">
              <w:rPr>
                <w:rFonts w:eastAsia="宋体"/>
                <w:b/>
                <w:bCs/>
                <w:sz w:val="22"/>
                <w:szCs w:val="22"/>
                <w:highlight w:val="darkYellow"/>
              </w:rPr>
              <w:t>Working Assumption</w:t>
            </w:r>
          </w:p>
          <w:p w14:paraId="511585B1" w14:textId="77777777" w:rsidR="00384E25" w:rsidRPr="0051635E" w:rsidRDefault="00384E25" w:rsidP="00384E25">
            <w:pPr>
              <w:snapToGrid w:val="0"/>
              <w:jc w:val="both"/>
              <w:rPr>
                <w:rFonts w:eastAsia="Malgun Gothic"/>
                <w:sz w:val="22"/>
                <w:szCs w:val="22"/>
              </w:rPr>
            </w:pPr>
            <w:r w:rsidRPr="0051635E">
              <w:rPr>
                <w:rFonts w:eastAsia="Malgun Gothic"/>
                <w:sz w:val="22"/>
                <w:szCs w:val="22"/>
              </w:rPr>
              <w:t xml:space="preserve">On Rel.17 beam indication enhancements </w:t>
            </w:r>
            <w:r w:rsidRPr="0051635E">
              <w:rPr>
                <w:rFonts w:eastAsia="Malgun Gothic"/>
                <w:color w:val="000000"/>
                <w:sz w:val="22"/>
                <w:szCs w:val="22"/>
              </w:rPr>
              <w:t>for L1/L2-centric inter-cell mobility</w:t>
            </w:r>
            <w:r w:rsidRPr="0051635E">
              <w:rPr>
                <w:rFonts w:eastAsia="Malgun Gothic"/>
                <w:sz w:val="22"/>
                <w:szCs w:val="22"/>
              </w:rPr>
              <w:t>, support the following:</w:t>
            </w:r>
          </w:p>
          <w:p w14:paraId="41B6AEE4" w14:textId="77777777" w:rsidR="00384E25" w:rsidRPr="0051635E" w:rsidRDefault="00384E25" w:rsidP="00384E25">
            <w:pPr>
              <w:numPr>
                <w:ilvl w:val="0"/>
                <w:numId w:val="21"/>
              </w:numPr>
              <w:snapToGrid w:val="0"/>
              <w:jc w:val="both"/>
              <w:rPr>
                <w:rFonts w:eastAsia="宋体"/>
                <w:sz w:val="22"/>
                <w:szCs w:val="22"/>
              </w:rPr>
            </w:pPr>
            <w:r w:rsidRPr="0051635E">
              <w:rPr>
                <w:rFonts w:eastAsia="宋体"/>
                <w:sz w:val="22"/>
                <w:szCs w:val="22"/>
              </w:rPr>
              <w:t xml:space="preserve">Rel-17 MAC-CE-based and/or DCI-based beam indication (at least using DCI formats 1_1/1_2 with and without DL assignment including the associated MAC-CE-based TCI state activation) </w:t>
            </w:r>
          </w:p>
          <w:p w14:paraId="186047A2" w14:textId="77777777" w:rsidR="00384E25" w:rsidRPr="0051635E" w:rsidRDefault="00384E25" w:rsidP="00384E25">
            <w:pPr>
              <w:numPr>
                <w:ilvl w:val="1"/>
                <w:numId w:val="21"/>
              </w:numPr>
              <w:snapToGrid w:val="0"/>
              <w:jc w:val="both"/>
              <w:rPr>
                <w:rFonts w:eastAsia="宋体"/>
                <w:sz w:val="22"/>
                <w:szCs w:val="22"/>
              </w:rPr>
            </w:pPr>
            <w:r w:rsidRPr="0051635E">
              <w:rPr>
                <w:rFonts w:eastAsia="宋体"/>
                <w:sz w:val="22"/>
                <w:szCs w:val="22"/>
              </w:rPr>
              <w:t xml:space="preserve">FFS (to be decided in RAN1#106-e): Whether this also applies to </w:t>
            </w:r>
            <w:r w:rsidRPr="0051635E">
              <w:rPr>
                <w:rFonts w:eastAsia="Times New Roman"/>
                <w:sz w:val="22"/>
                <w:szCs w:val="22"/>
              </w:rPr>
              <w:t xml:space="preserve">PDSCH/PUSCH associated with UE-dedicated CORESETs only or additional target channels (e.g. UE-dedicated PDCCH/PUCCH) </w:t>
            </w:r>
          </w:p>
          <w:p w14:paraId="40A8CD6B" w14:textId="77777777" w:rsidR="00384E25" w:rsidRPr="0051635E" w:rsidRDefault="00384E25" w:rsidP="00384E25">
            <w:pPr>
              <w:numPr>
                <w:ilvl w:val="1"/>
                <w:numId w:val="21"/>
              </w:numPr>
              <w:snapToGrid w:val="0"/>
              <w:jc w:val="both"/>
              <w:rPr>
                <w:rFonts w:eastAsia="宋体"/>
                <w:sz w:val="22"/>
                <w:szCs w:val="22"/>
              </w:rPr>
            </w:pPr>
            <w:r w:rsidRPr="0051635E">
              <w:rPr>
                <w:rFonts w:eastAsia="宋体"/>
                <w:sz w:val="22"/>
                <w:szCs w:val="22"/>
              </w:rPr>
              <w:t xml:space="preserve">FFS: Whether the above is supported only for joint TCI, or both joint TCI and separate DL/UL TCI (including that, if separate DL/UL TCI is supported, the DL TCI and UL TCI associated with a same cell) </w:t>
            </w:r>
          </w:p>
          <w:p w14:paraId="26DD6B39" w14:textId="77777777" w:rsidR="00384E25" w:rsidRPr="0051635E" w:rsidRDefault="00384E25" w:rsidP="00384E25">
            <w:pPr>
              <w:numPr>
                <w:ilvl w:val="1"/>
                <w:numId w:val="21"/>
              </w:numPr>
              <w:snapToGrid w:val="0"/>
              <w:jc w:val="both"/>
              <w:rPr>
                <w:rFonts w:eastAsia="宋体"/>
                <w:sz w:val="22"/>
                <w:szCs w:val="22"/>
              </w:rPr>
            </w:pPr>
            <w:r w:rsidRPr="0051635E">
              <w:rPr>
                <w:rFonts w:eastAsia="宋体"/>
                <w:sz w:val="22"/>
                <w:szCs w:val="22"/>
              </w:rPr>
              <w:t>FFS: Whether to support activation of TCI states for more than one cells simultaneously</w:t>
            </w:r>
          </w:p>
          <w:p w14:paraId="17672C05" w14:textId="77777777" w:rsidR="00384E25" w:rsidRPr="0051635E" w:rsidRDefault="00384E25" w:rsidP="00384E25">
            <w:pPr>
              <w:numPr>
                <w:ilvl w:val="1"/>
                <w:numId w:val="21"/>
              </w:numPr>
              <w:snapToGrid w:val="0"/>
              <w:jc w:val="both"/>
              <w:rPr>
                <w:rFonts w:eastAsia="宋体"/>
                <w:sz w:val="22"/>
                <w:szCs w:val="22"/>
              </w:rPr>
            </w:pPr>
            <w:r w:rsidRPr="0051635E">
              <w:rPr>
                <w:rFonts w:eastAsia="宋体"/>
                <w:sz w:val="22"/>
                <w:szCs w:val="22"/>
              </w:rPr>
              <w:t>FFS: Whether down-selection between MAC-CE only based and MAC-CE+DCI-based beam indication scheme is necessary</w:t>
            </w:r>
          </w:p>
          <w:p w14:paraId="6C108C23" w14:textId="77777777" w:rsidR="00384E25" w:rsidRPr="0051635E" w:rsidRDefault="00384E25" w:rsidP="00384E25">
            <w:pPr>
              <w:numPr>
                <w:ilvl w:val="0"/>
                <w:numId w:val="21"/>
              </w:numPr>
              <w:snapToGrid w:val="0"/>
              <w:jc w:val="both"/>
              <w:rPr>
                <w:rFonts w:eastAsia="宋体"/>
                <w:sz w:val="22"/>
                <w:szCs w:val="22"/>
              </w:rPr>
            </w:pPr>
            <w:r w:rsidRPr="0051635E">
              <w:rPr>
                <w:rFonts w:eastAsia="宋体"/>
                <w:sz w:val="22"/>
                <w:szCs w:val="22"/>
              </w:rPr>
              <w:t xml:space="preserve">The DL QCL and UL spatial relation rules already agreed for intra-cell scenario </w:t>
            </w:r>
          </w:p>
          <w:p w14:paraId="51DD1020" w14:textId="77777777" w:rsidR="00384E25" w:rsidRPr="0051635E" w:rsidRDefault="00384E25" w:rsidP="00384E25">
            <w:pPr>
              <w:numPr>
                <w:ilvl w:val="0"/>
                <w:numId w:val="21"/>
              </w:numPr>
              <w:snapToGrid w:val="0"/>
              <w:jc w:val="both"/>
              <w:rPr>
                <w:rFonts w:eastAsia="宋体"/>
                <w:sz w:val="22"/>
                <w:szCs w:val="22"/>
              </w:rPr>
            </w:pPr>
            <w:r w:rsidRPr="0051635E">
              <w:rPr>
                <w:rFonts w:eastAsia="宋体"/>
                <w:sz w:val="22"/>
                <w:szCs w:val="22"/>
              </w:rPr>
              <w:t xml:space="preserve">FFS: The use of SSB associated with a physical cell ID different from that of the serving cell as an indirect QCL reference for UE-dedicated PDSCH </w:t>
            </w:r>
          </w:p>
          <w:p w14:paraId="28C08DBE" w14:textId="77777777" w:rsidR="00384E25" w:rsidRPr="0051635E" w:rsidRDefault="00384E25" w:rsidP="00384E25">
            <w:pPr>
              <w:numPr>
                <w:ilvl w:val="1"/>
                <w:numId w:val="21"/>
              </w:numPr>
              <w:snapToGrid w:val="0"/>
              <w:jc w:val="both"/>
              <w:rPr>
                <w:rFonts w:eastAsia="宋体"/>
                <w:sz w:val="22"/>
                <w:szCs w:val="22"/>
              </w:rPr>
            </w:pPr>
            <w:r w:rsidRPr="0051635E">
              <w:rPr>
                <w:rFonts w:eastAsia="宋体"/>
                <w:sz w:val="22"/>
                <w:szCs w:val="22"/>
              </w:rPr>
              <w:t xml:space="preserve">FFS (to be decided in RAN1#106-e): Whether this also applies to UE-dedicated PDCCH </w:t>
            </w:r>
          </w:p>
          <w:p w14:paraId="7E0A7DFF" w14:textId="77777777" w:rsidR="00384E25" w:rsidRPr="0051635E" w:rsidRDefault="00384E25" w:rsidP="00384E25">
            <w:pPr>
              <w:numPr>
                <w:ilvl w:val="1"/>
                <w:numId w:val="21"/>
              </w:numPr>
              <w:snapToGrid w:val="0"/>
              <w:jc w:val="both"/>
              <w:rPr>
                <w:rFonts w:eastAsia="宋体"/>
                <w:sz w:val="22"/>
                <w:szCs w:val="22"/>
              </w:rPr>
            </w:pPr>
            <w:r w:rsidRPr="0051635E">
              <w:rPr>
                <w:rFonts w:eastAsia="宋体"/>
                <w:sz w:val="22"/>
                <w:szCs w:val="22"/>
              </w:rPr>
              <w:t>Note: When RS X is an indirect QCL reference of a target channel, there exists at least one other source signal on the QCL chain between RS X and the target channel</w:t>
            </w:r>
          </w:p>
          <w:p w14:paraId="4BA1A921" w14:textId="08128C94" w:rsidR="00384E25" w:rsidRPr="00D97528" w:rsidRDefault="00384E25" w:rsidP="000A7297">
            <w:pPr>
              <w:numPr>
                <w:ilvl w:val="1"/>
                <w:numId w:val="21"/>
              </w:numPr>
              <w:snapToGrid w:val="0"/>
              <w:jc w:val="both"/>
              <w:rPr>
                <w:rFonts w:eastAsia="宋体"/>
                <w:sz w:val="22"/>
                <w:szCs w:val="22"/>
              </w:rPr>
            </w:pPr>
            <w:r w:rsidRPr="0051635E">
              <w:rPr>
                <w:rFonts w:eastAsia="宋体"/>
                <w:sz w:val="22"/>
                <w:szCs w:val="22"/>
              </w:rPr>
              <w:t>FFS (to be decided in RAN1#106-e): Whether SSB associated with a physical cell ID different from that of the serving cell can also be used as a direct QCL reference (source RS) for UE-dedicated PDCCH/PDSCH</w:t>
            </w:r>
          </w:p>
        </w:tc>
      </w:tr>
    </w:tbl>
    <w:p w14:paraId="69C26C4E" w14:textId="2678324B" w:rsidR="004B08D5" w:rsidRPr="00D650CC" w:rsidRDefault="00AD4D0E" w:rsidP="004B08D5">
      <w:pPr>
        <w:pStyle w:val="2"/>
        <w:rPr>
          <w:sz w:val="24"/>
          <w:lang w:eastAsia="zh-CN"/>
        </w:rPr>
      </w:pPr>
      <w:r>
        <w:rPr>
          <w:sz w:val="24"/>
          <w:lang w:eastAsia="zh-CN"/>
        </w:rPr>
        <w:lastRenderedPageBreak/>
        <w:t>M</w:t>
      </w:r>
      <w:r w:rsidRPr="00AD4D0E">
        <w:rPr>
          <w:sz w:val="24"/>
          <w:lang w:eastAsia="zh-CN"/>
        </w:rPr>
        <w:t xml:space="preserve">easurement RS </w:t>
      </w:r>
      <w:r>
        <w:rPr>
          <w:sz w:val="24"/>
          <w:lang w:eastAsia="zh-CN"/>
        </w:rPr>
        <w:t xml:space="preserve">for </w:t>
      </w:r>
      <w:r w:rsidRPr="00AD4D0E">
        <w:rPr>
          <w:sz w:val="24"/>
          <w:lang w:eastAsia="zh-CN"/>
        </w:rPr>
        <w:t>inter-cell mobility</w:t>
      </w:r>
      <w:r>
        <w:rPr>
          <w:sz w:val="24"/>
          <w:lang w:eastAsia="zh-CN"/>
        </w:rPr>
        <w:t>/mTRP</w:t>
      </w:r>
    </w:p>
    <w:p w14:paraId="5339559D" w14:textId="177ACD52" w:rsidR="00AD4D0E" w:rsidRDefault="00AD4D0E" w:rsidP="00AD4D0E">
      <w:pPr>
        <w:pStyle w:val="LGTdoc"/>
        <w:spacing w:afterLines="0" w:after="100" w:afterAutospacing="1" w:line="240" w:lineRule="auto"/>
        <w:rPr>
          <w:rFonts w:eastAsia="MS Mincho"/>
          <w:szCs w:val="22"/>
          <w:lang w:eastAsia="ja-JP"/>
        </w:rPr>
      </w:pPr>
      <w:r>
        <w:rPr>
          <w:rFonts w:eastAsia="MS Mincho"/>
          <w:szCs w:val="22"/>
          <w:lang w:eastAsia="ja-JP"/>
        </w:rPr>
        <w:t xml:space="preserve">Previously, SSB associated with non-serving cell were agreed as measurement RS for </w:t>
      </w:r>
      <w:r w:rsidRPr="00AD4D0E">
        <w:rPr>
          <w:rFonts w:eastAsia="MS Mincho"/>
          <w:szCs w:val="22"/>
          <w:lang w:eastAsia="ja-JP"/>
        </w:rPr>
        <w:t>inter-cell mobility/mTRP</w:t>
      </w:r>
      <w:r w:rsidRPr="00CC5A36">
        <w:rPr>
          <w:rFonts w:eastAsia="MS Mincho"/>
          <w:szCs w:val="22"/>
          <w:lang w:eastAsia="ja-JP"/>
        </w:rPr>
        <w:t>.</w:t>
      </w:r>
      <w:r>
        <w:rPr>
          <w:rFonts w:eastAsia="MS Mincho"/>
          <w:szCs w:val="22"/>
          <w:lang w:eastAsia="ja-JP"/>
        </w:rPr>
        <w:t xml:space="preserve"> A leftover issue is whether </w:t>
      </w:r>
      <w:r w:rsidR="00DB3966">
        <w:rPr>
          <w:rFonts w:eastAsia="MS Mincho"/>
          <w:szCs w:val="22"/>
          <w:lang w:eastAsia="ja-JP"/>
        </w:rPr>
        <w:t xml:space="preserve">RS other than SSB can be additionally considered as measurement RS. In our view, </w:t>
      </w:r>
      <w:r w:rsidR="00DB3966" w:rsidRPr="00DB3966">
        <w:rPr>
          <w:rFonts w:eastAsia="MS Mincho"/>
          <w:szCs w:val="22"/>
          <w:lang w:eastAsia="ja-JP"/>
        </w:rPr>
        <w:t>CSI-RS for mobility/RRM associated with a non-serving cell</w:t>
      </w:r>
      <w:r w:rsidR="00DB3966">
        <w:rPr>
          <w:rFonts w:eastAsia="MS Mincho"/>
          <w:szCs w:val="22"/>
          <w:lang w:eastAsia="ja-JP"/>
        </w:rPr>
        <w:t xml:space="preserve"> should be supported as measurement RS.</w:t>
      </w:r>
      <w:r w:rsidR="00821339">
        <w:rPr>
          <w:rFonts w:eastAsia="MS Mincho"/>
          <w:szCs w:val="22"/>
          <w:lang w:eastAsia="ja-JP"/>
        </w:rPr>
        <w:t xml:space="preserve"> The configuration and the corresponding UE behaviour of monitoring </w:t>
      </w:r>
      <w:r w:rsidR="00821339" w:rsidRPr="00821339">
        <w:rPr>
          <w:rFonts w:eastAsia="MS Mincho"/>
          <w:szCs w:val="22"/>
          <w:lang w:eastAsia="ja-JP"/>
        </w:rPr>
        <w:t>CSI-RS for mobility/RRM</w:t>
      </w:r>
      <w:r w:rsidR="00821339">
        <w:rPr>
          <w:rFonts w:eastAsia="MS Mincho"/>
          <w:szCs w:val="22"/>
          <w:lang w:eastAsia="ja-JP"/>
        </w:rPr>
        <w:t xml:space="preserve"> was introduced in Rel-15. The corresponding measurement result, L3-RSRP, is used for UE mobility management. </w:t>
      </w:r>
      <w:r w:rsidR="001439E6">
        <w:rPr>
          <w:rFonts w:eastAsia="MS Mincho"/>
          <w:szCs w:val="22"/>
          <w:lang w:eastAsia="ja-JP"/>
        </w:rPr>
        <w:t>I</w:t>
      </w:r>
      <w:r w:rsidR="00821339">
        <w:rPr>
          <w:rFonts w:eastAsia="MS Mincho"/>
          <w:szCs w:val="22"/>
          <w:lang w:eastAsia="ja-JP"/>
        </w:rPr>
        <w:t>t is natural to extend the mobility CSI-RS for the purpose of L1/L2 mobility.</w:t>
      </w:r>
      <w:r w:rsidR="001439E6">
        <w:rPr>
          <w:rFonts w:eastAsia="MS Mincho"/>
          <w:szCs w:val="22"/>
          <w:lang w:eastAsia="ja-JP"/>
        </w:rPr>
        <w:t xml:space="preserve"> This means that </w:t>
      </w:r>
      <w:r w:rsidR="00811C84" w:rsidRPr="00811C84">
        <w:rPr>
          <w:rFonts w:eastAsia="MS Mincho"/>
          <w:szCs w:val="22"/>
          <w:lang w:eastAsia="ja-JP"/>
        </w:rPr>
        <w:t xml:space="preserve">CSI-RS for mobility/RRM associated with a non-serving cell should be </w:t>
      </w:r>
      <w:r w:rsidR="001439E6">
        <w:rPr>
          <w:rFonts w:eastAsia="MS Mincho"/>
          <w:szCs w:val="22"/>
          <w:lang w:eastAsia="ja-JP"/>
        </w:rPr>
        <w:t xml:space="preserve">included </w:t>
      </w:r>
      <w:r w:rsidR="00811C84">
        <w:rPr>
          <w:rFonts w:eastAsia="MS Mincho"/>
          <w:szCs w:val="22"/>
          <w:lang w:eastAsia="ja-JP"/>
        </w:rPr>
        <w:t xml:space="preserve">in </w:t>
      </w:r>
      <w:r w:rsidR="001439E6">
        <w:rPr>
          <w:rFonts w:eastAsia="MS Mincho"/>
          <w:szCs w:val="22"/>
          <w:lang w:eastAsia="ja-JP"/>
        </w:rPr>
        <w:t>beam measurement framework</w:t>
      </w:r>
      <w:r w:rsidR="00811C84">
        <w:rPr>
          <w:rFonts w:eastAsia="MS Mincho"/>
          <w:szCs w:val="22"/>
          <w:lang w:eastAsia="ja-JP"/>
        </w:rPr>
        <w:t>.</w:t>
      </w:r>
      <w:r w:rsidR="001439E6">
        <w:rPr>
          <w:rFonts w:eastAsia="MS Mincho"/>
          <w:szCs w:val="22"/>
          <w:lang w:eastAsia="ja-JP"/>
        </w:rPr>
        <w:t xml:space="preserve"> </w:t>
      </w:r>
      <w:r w:rsidR="00811C84">
        <w:rPr>
          <w:rFonts w:eastAsia="MS Mincho"/>
          <w:szCs w:val="22"/>
          <w:lang w:eastAsia="ja-JP"/>
        </w:rPr>
        <w:t xml:space="preserve">The beam metric of L1-RSRP should be supported for CSI-RS </w:t>
      </w:r>
      <w:r w:rsidR="00811C84" w:rsidRPr="00811C84">
        <w:rPr>
          <w:rFonts w:eastAsia="MS Mincho"/>
          <w:szCs w:val="22"/>
          <w:lang w:eastAsia="ja-JP"/>
        </w:rPr>
        <w:t>for mobility/RRM associated with a non-serving cell</w:t>
      </w:r>
      <w:r w:rsidR="00811C84">
        <w:rPr>
          <w:rFonts w:eastAsia="MS Mincho"/>
          <w:szCs w:val="22"/>
          <w:lang w:eastAsia="ja-JP"/>
        </w:rPr>
        <w:t>.</w:t>
      </w:r>
    </w:p>
    <w:p w14:paraId="3454A230" w14:textId="6E0EDBD4" w:rsidR="00811C84" w:rsidRDefault="00811C84" w:rsidP="00811C84">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sidRPr="00811C84">
        <w:rPr>
          <w:rFonts w:eastAsia="宋体"/>
          <w:b/>
          <w:i/>
          <w:sz w:val="22"/>
          <w:szCs w:val="20"/>
          <w:lang w:val="en-GB" w:eastAsia="zh-CN"/>
        </w:rPr>
        <w:t>On Rel.17 L1-RSRP multi-beam measurement/reporting enhancements for L1/L2-centric inter-cell mobility and inter-cell mTRP</w:t>
      </w:r>
      <w:r>
        <w:rPr>
          <w:rFonts w:eastAsia="宋体"/>
          <w:b/>
          <w:i/>
          <w:sz w:val="22"/>
          <w:szCs w:val="20"/>
          <w:lang w:val="en-GB" w:eastAsia="zh-CN"/>
        </w:rPr>
        <w:t xml:space="preserve">, </w:t>
      </w:r>
    </w:p>
    <w:p w14:paraId="5D237537" w14:textId="1EE98FD2" w:rsidR="00811C84" w:rsidRDefault="00811C84" w:rsidP="00811C84">
      <w:pPr>
        <w:pStyle w:val="aff2"/>
        <w:numPr>
          <w:ilvl w:val="0"/>
          <w:numId w:val="8"/>
        </w:numPr>
        <w:ind w:firstLineChars="0"/>
        <w:rPr>
          <w:rFonts w:eastAsia="宋体"/>
          <w:b/>
          <w:i/>
          <w:sz w:val="22"/>
          <w:szCs w:val="20"/>
          <w:lang w:val="en-GB" w:eastAsia="zh-CN"/>
        </w:rPr>
      </w:pPr>
      <w:r>
        <w:rPr>
          <w:rFonts w:eastAsia="宋体"/>
          <w:b/>
          <w:i/>
          <w:sz w:val="22"/>
          <w:szCs w:val="20"/>
          <w:lang w:val="en-GB" w:eastAsia="zh-CN"/>
        </w:rPr>
        <w:t>S</w:t>
      </w:r>
      <w:r w:rsidRPr="00811C84">
        <w:rPr>
          <w:rFonts w:eastAsia="宋体"/>
          <w:b/>
          <w:i/>
          <w:sz w:val="22"/>
          <w:szCs w:val="20"/>
          <w:lang w:val="en-GB" w:eastAsia="zh-CN"/>
        </w:rPr>
        <w:t xml:space="preserve">upport CSI-RS for mobility/RRM associated with a non-serving cell as measurement RS </w:t>
      </w:r>
    </w:p>
    <w:p w14:paraId="3D81D6E1" w14:textId="77777777" w:rsidR="00811C84" w:rsidRPr="00811C84" w:rsidRDefault="00811C84" w:rsidP="00811C84">
      <w:pPr>
        <w:rPr>
          <w:rFonts w:eastAsia="宋体"/>
          <w:b/>
          <w:i/>
          <w:sz w:val="22"/>
          <w:szCs w:val="20"/>
          <w:lang w:val="en-GB" w:eastAsia="zh-CN"/>
        </w:rPr>
      </w:pPr>
    </w:p>
    <w:p w14:paraId="682B5A50" w14:textId="73C6DACF" w:rsidR="00811C84" w:rsidRPr="00D650CC" w:rsidRDefault="00B33A8B" w:rsidP="00811C84">
      <w:pPr>
        <w:pStyle w:val="2"/>
        <w:rPr>
          <w:sz w:val="24"/>
          <w:lang w:eastAsia="zh-CN"/>
        </w:rPr>
      </w:pPr>
      <w:r>
        <w:rPr>
          <w:sz w:val="24"/>
          <w:lang w:eastAsia="zh-CN"/>
        </w:rPr>
        <w:t>Beam indication</w:t>
      </w:r>
      <w:r w:rsidR="00811C84" w:rsidRPr="00AD4D0E">
        <w:rPr>
          <w:sz w:val="24"/>
          <w:lang w:eastAsia="zh-CN"/>
        </w:rPr>
        <w:t xml:space="preserve"> </w:t>
      </w:r>
      <w:r w:rsidR="00811C84">
        <w:rPr>
          <w:sz w:val="24"/>
          <w:lang w:eastAsia="zh-CN"/>
        </w:rPr>
        <w:t xml:space="preserve">for </w:t>
      </w:r>
      <w:r w:rsidR="00811C84" w:rsidRPr="00AD4D0E">
        <w:rPr>
          <w:sz w:val="24"/>
          <w:lang w:eastAsia="zh-CN"/>
        </w:rPr>
        <w:t>inter-cell mobility</w:t>
      </w:r>
      <w:r w:rsidR="00811C84">
        <w:rPr>
          <w:sz w:val="24"/>
          <w:lang w:eastAsia="zh-CN"/>
        </w:rPr>
        <w:t>/mTRP</w:t>
      </w:r>
    </w:p>
    <w:p w14:paraId="6AC3219B" w14:textId="63274196" w:rsidR="00D67E2E" w:rsidRDefault="00B33A8B" w:rsidP="00D67E2E">
      <w:pPr>
        <w:pStyle w:val="LGTdoc"/>
        <w:spacing w:afterLines="0" w:after="100" w:afterAutospacing="1" w:line="240" w:lineRule="auto"/>
        <w:rPr>
          <w:rFonts w:eastAsia="MS Mincho"/>
          <w:szCs w:val="22"/>
          <w:lang w:eastAsia="ja-JP"/>
        </w:rPr>
      </w:pPr>
      <w:r>
        <w:rPr>
          <w:rFonts w:eastAsia="MS Mincho"/>
          <w:szCs w:val="22"/>
          <w:lang w:eastAsia="ja-JP"/>
        </w:rPr>
        <w:t xml:space="preserve">In the previous meeting, </w:t>
      </w:r>
      <w:r w:rsidR="003C04AE">
        <w:rPr>
          <w:rFonts w:eastAsia="MS Mincho"/>
          <w:szCs w:val="22"/>
          <w:lang w:eastAsia="ja-JP"/>
        </w:rPr>
        <w:t xml:space="preserve">it was agreed as a working assumption to extend </w:t>
      </w:r>
      <w:r w:rsidR="003C04AE" w:rsidRPr="003C04AE">
        <w:rPr>
          <w:rFonts w:eastAsia="MS Mincho"/>
          <w:szCs w:val="22"/>
          <w:lang w:eastAsia="ja-JP"/>
        </w:rPr>
        <w:t>Rel-17 beam indication</w:t>
      </w:r>
      <w:r w:rsidR="003C04AE">
        <w:rPr>
          <w:rFonts w:eastAsia="MS Mincho"/>
          <w:szCs w:val="22"/>
          <w:lang w:eastAsia="ja-JP"/>
        </w:rPr>
        <w:t xml:space="preserve"> mechanism and </w:t>
      </w:r>
      <w:r w:rsidR="003C04AE" w:rsidRPr="003C04AE">
        <w:rPr>
          <w:rFonts w:eastAsia="MS Mincho"/>
          <w:szCs w:val="22"/>
          <w:lang w:eastAsia="ja-JP"/>
        </w:rPr>
        <w:t>DL QCL and UL spatial relation rules</w:t>
      </w:r>
      <w:r w:rsidR="003C04AE">
        <w:rPr>
          <w:rFonts w:eastAsia="MS Mincho"/>
          <w:szCs w:val="22"/>
          <w:lang w:eastAsia="ja-JP"/>
        </w:rPr>
        <w:t xml:space="preserve"> from </w:t>
      </w:r>
      <w:r w:rsidR="003C04AE" w:rsidRPr="003C04AE">
        <w:rPr>
          <w:rFonts w:eastAsia="MS Mincho"/>
          <w:szCs w:val="22"/>
          <w:lang w:eastAsia="ja-JP"/>
        </w:rPr>
        <w:t>intra-cell scenario</w:t>
      </w:r>
      <w:r w:rsidR="003C04AE">
        <w:rPr>
          <w:rFonts w:eastAsia="MS Mincho"/>
          <w:szCs w:val="22"/>
          <w:lang w:eastAsia="ja-JP"/>
        </w:rPr>
        <w:t xml:space="preserve"> to inter-cell scenario</w:t>
      </w:r>
      <w:r w:rsidR="00D67E2E">
        <w:rPr>
          <w:rFonts w:eastAsia="MS Mincho"/>
          <w:szCs w:val="22"/>
          <w:lang w:eastAsia="ja-JP"/>
        </w:rPr>
        <w:t>. In our view,</w:t>
      </w:r>
      <w:r w:rsidR="003C04AE">
        <w:rPr>
          <w:rFonts w:eastAsia="MS Mincho"/>
          <w:szCs w:val="22"/>
          <w:lang w:eastAsia="ja-JP"/>
        </w:rPr>
        <w:t xml:space="preserve"> the beam indication mechanism introduced in Rel-17 is not only useful in intra-cell scenario but also useful in inter-cell scenario especially for the use case of </w:t>
      </w:r>
      <w:r w:rsidR="00840F50">
        <w:rPr>
          <w:rFonts w:eastAsia="MS Mincho"/>
          <w:szCs w:val="22"/>
          <w:lang w:eastAsia="ja-JP"/>
        </w:rPr>
        <w:t>high-speed train</w:t>
      </w:r>
      <w:r w:rsidR="00D67E2E">
        <w:rPr>
          <w:rFonts w:eastAsia="MS Mincho"/>
          <w:szCs w:val="22"/>
          <w:lang w:eastAsia="ja-JP"/>
        </w:rPr>
        <w:t>.</w:t>
      </w:r>
      <w:r w:rsidR="003C04AE">
        <w:rPr>
          <w:rFonts w:eastAsia="MS Mincho"/>
          <w:szCs w:val="22"/>
          <w:lang w:eastAsia="ja-JP"/>
        </w:rPr>
        <w:t xml:space="preserve"> Hence, we propose to confirm the working assumption.</w:t>
      </w:r>
    </w:p>
    <w:p w14:paraId="4C8B2999" w14:textId="5AED24DA" w:rsidR="00AD4D0E" w:rsidRDefault="00D14B1D" w:rsidP="00FF079F">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lastRenderedPageBreak/>
        <w:t xml:space="preserve">Proposal </w:t>
      </w:r>
      <w:r>
        <w:rPr>
          <w:rFonts w:eastAsia="宋体"/>
          <w:b/>
          <w:sz w:val="22"/>
          <w:szCs w:val="20"/>
          <w:lang w:val="en-GB" w:eastAsia="zh-CN"/>
        </w:rPr>
        <w:t>3</w:t>
      </w:r>
      <w:r w:rsidRPr="00023C28">
        <w:rPr>
          <w:rFonts w:eastAsia="宋体"/>
          <w:b/>
          <w:sz w:val="22"/>
          <w:szCs w:val="20"/>
          <w:lang w:val="en-GB" w:eastAsia="zh-CN"/>
        </w:rPr>
        <w:t xml:space="preserve">: </w:t>
      </w:r>
      <w:r>
        <w:rPr>
          <w:rFonts w:eastAsia="宋体"/>
          <w:b/>
          <w:i/>
          <w:sz w:val="22"/>
          <w:szCs w:val="20"/>
          <w:lang w:val="en-GB" w:eastAsia="zh-CN"/>
        </w:rPr>
        <w:t xml:space="preserve">Confirm the working assumption on using </w:t>
      </w:r>
      <w:r w:rsidRPr="00D14B1D">
        <w:rPr>
          <w:rFonts w:eastAsia="宋体"/>
          <w:b/>
          <w:i/>
          <w:sz w:val="22"/>
          <w:szCs w:val="20"/>
          <w:lang w:val="en-GB" w:eastAsia="zh-CN"/>
        </w:rPr>
        <w:t>Rel-17 MAC-CE-based and/or DCI-based beam indication</w:t>
      </w:r>
      <w:r>
        <w:rPr>
          <w:rFonts w:eastAsia="宋体"/>
          <w:b/>
          <w:i/>
          <w:sz w:val="22"/>
          <w:szCs w:val="20"/>
          <w:lang w:val="en-GB" w:eastAsia="zh-CN"/>
        </w:rPr>
        <w:t xml:space="preserve"> </w:t>
      </w:r>
      <w:r w:rsidRPr="00D14B1D">
        <w:rPr>
          <w:rFonts w:eastAsia="宋体"/>
          <w:b/>
          <w:i/>
          <w:sz w:val="22"/>
          <w:szCs w:val="20"/>
          <w:lang w:val="en-GB" w:eastAsia="zh-CN"/>
        </w:rPr>
        <w:t>for L1/L2-centric inter-cell mobility</w:t>
      </w:r>
      <w:r>
        <w:rPr>
          <w:rFonts w:eastAsia="宋体"/>
          <w:b/>
          <w:i/>
          <w:sz w:val="22"/>
          <w:szCs w:val="20"/>
          <w:lang w:val="en-GB" w:eastAsia="zh-CN"/>
        </w:rPr>
        <w:t>.</w:t>
      </w:r>
    </w:p>
    <w:p w14:paraId="0234837C" w14:textId="77777777" w:rsidR="00AD4D0E" w:rsidRDefault="00AD4D0E" w:rsidP="00FF079F">
      <w:pPr>
        <w:pStyle w:val="a5"/>
        <w:spacing w:afterLines="50" w:after="163" w:line="240" w:lineRule="exact"/>
        <w:jc w:val="both"/>
        <w:rPr>
          <w:rFonts w:eastAsia="宋体"/>
          <w:b/>
          <w:i/>
          <w:sz w:val="22"/>
          <w:szCs w:val="20"/>
          <w:lang w:val="en-GB" w:eastAsia="zh-CN"/>
        </w:rPr>
      </w:pP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6CC5971D" w:rsidR="00F55C26" w:rsidRDefault="00CC4572" w:rsidP="003E7314">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0B777D">
        <w:rPr>
          <w:rFonts w:eastAsia="MS Mincho"/>
          <w:szCs w:val="22"/>
          <w:lang w:eastAsia="ja-JP"/>
        </w:rPr>
        <w:t>e</w:t>
      </w:r>
      <w:r w:rsidR="000B777D" w:rsidRPr="000B777D">
        <w:rPr>
          <w:rFonts w:eastAsia="MS Mincho"/>
          <w:szCs w:val="22"/>
          <w:lang w:eastAsia="ja-JP"/>
        </w:rPr>
        <w:t xml:space="preserve">nhancements on </w:t>
      </w:r>
      <w:r w:rsidR="000B777D">
        <w:rPr>
          <w:rFonts w:eastAsia="MS Mincho"/>
          <w:szCs w:val="22"/>
          <w:lang w:eastAsia="ja-JP"/>
        </w:rPr>
        <w:t>m</w:t>
      </w:r>
      <w:r w:rsidR="000B777D" w:rsidRPr="000B777D">
        <w:rPr>
          <w:rFonts w:eastAsia="MS Mincho"/>
          <w:szCs w:val="22"/>
          <w:lang w:eastAsia="ja-JP"/>
        </w:rPr>
        <w:t xml:space="preserve">ulti-beam </w:t>
      </w:r>
      <w:r w:rsidR="000B777D">
        <w:rPr>
          <w:rFonts w:eastAsia="MS Mincho"/>
          <w:szCs w:val="22"/>
          <w:lang w:eastAsia="ja-JP"/>
        </w:rPr>
        <w:t>o</w:t>
      </w:r>
      <w:r w:rsidR="000B777D" w:rsidRPr="000B777D">
        <w:rPr>
          <w:rFonts w:eastAsia="MS Mincho"/>
          <w:szCs w:val="22"/>
          <w:lang w:eastAsia="ja-JP"/>
        </w:rPr>
        <w:t>peration</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0C1D0C6D" w14:textId="78F74E7C" w:rsidR="00D84C67" w:rsidRDefault="00D84C67" w:rsidP="00D84C67">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Pr>
          <w:rFonts w:eastAsia="宋体"/>
          <w:b/>
          <w:i/>
          <w:sz w:val="22"/>
          <w:szCs w:val="20"/>
          <w:lang w:val="en-GB" w:eastAsia="zh-CN"/>
        </w:rPr>
        <w:t xml:space="preserve">For the down-selection of </w:t>
      </w:r>
      <w:r w:rsidRPr="000645FA">
        <w:rPr>
          <w:rFonts w:eastAsia="宋体"/>
          <w:b/>
          <w:i/>
          <w:sz w:val="22"/>
          <w:szCs w:val="20"/>
          <w:lang w:val="en-GB" w:eastAsia="zh-CN"/>
        </w:rPr>
        <w:t>DL RS that does not share the same indicated Rel-17 TCI state(s) as UE-dedicated reception on PDSCH and for UE-dedicated reception on all or subset of CORESETs in a CC but can be configured as a target DL RS of a Rel-17 DL TCI</w:t>
      </w:r>
      <w:r>
        <w:rPr>
          <w:rFonts w:eastAsia="宋体"/>
          <w:b/>
          <w:i/>
          <w:sz w:val="22"/>
          <w:szCs w:val="20"/>
          <w:lang w:val="en-GB" w:eastAsia="zh-CN"/>
        </w:rPr>
        <w:t xml:space="preserve">, support Alt1. </w:t>
      </w:r>
    </w:p>
    <w:p w14:paraId="517272DC" w14:textId="77777777" w:rsidR="00D84C67" w:rsidRDefault="00D84C67" w:rsidP="00D84C67">
      <w:pPr>
        <w:pStyle w:val="aff2"/>
        <w:numPr>
          <w:ilvl w:val="0"/>
          <w:numId w:val="8"/>
        </w:numPr>
        <w:ind w:firstLineChars="0"/>
        <w:rPr>
          <w:rFonts w:eastAsia="宋体"/>
          <w:b/>
          <w:i/>
          <w:sz w:val="22"/>
          <w:szCs w:val="20"/>
          <w:lang w:val="en-GB" w:eastAsia="zh-CN"/>
        </w:rPr>
      </w:pPr>
      <w:r w:rsidRPr="000645FA">
        <w:rPr>
          <w:rFonts w:eastAsia="宋体"/>
          <w:b/>
          <w:i/>
          <w:sz w:val="22"/>
          <w:szCs w:val="20"/>
          <w:lang w:val="en-GB" w:eastAsia="zh-CN"/>
        </w:rPr>
        <w:t xml:space="preserve">Alt1. Rel-15/16 TCI state update signaling/configuration mechanism(s) are reused to update/ configure the Rel-17 TCI state </w:t>
      </w:r>
    </w:p>
    <w:p w14:paraId="5DE2B247" w14:textId="77777777" w:rsidR="00D84C67" w:rsidRDefault="00D84C67" w:rsidP="00D84C67">
      <w:pPr>
        <w:pStyle w:val="a5"/>
        <w:spacing w:before="120"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sidRPr="00811C84">
        <w:rPr>
          <w:rFonts w:eastAsia="宋体"/>
          <w:b/>
          <w:i/>
          <w:sz w:val="22"/>
          <w:szCs w:val="20"/>
          <w:lang w:val="en-GB" w:eastAsia="zh-CN"/>
        </w:rPr>
        <w:t>On Rel.17 L1-RSRP multi-beam measurement/reporting enhancements for L1/L2-centric inter-cell mobility and inter-cell mTRP</w:t>
      </w:r>
      <w:r>
        <w:rPr>
          <w:rFonts w:eastAsia="宋体"/>
          <w:b/>
          <w:i/>
          <w:sz w:val="22"/>
          <w:szCs w:val="20"/>
          <w:lang w:val="en-GB" w:eastAsia="zh-CN"/>
        </w:rPr>
        <w:t xml:space="preserve">, </w:t>
      </w:r>
    </w:p>
    <w:p w14:paraId="5D479ED0" w14:textId="707775D5" w:rsidR="00D84C67" w:rsidRPr="00D84C67" w:rsidRDefault="00D84C67" w:rsidP="00D84C67">
      <w:pPr>
        <w:pStyle w:val="aff2"/>
        <w:numPr>
          <w:ilvl w:val="0"/>
          <w:numId w:val="8"/>
        </w:numPr>
        <w:ind w:firstLineChars="0"/>
        <w:rPr>
          <w:rFonts w:eastAsia="宋体"/>
          <w:b/>
          <w:i/>
          <w:sz w:val="22"/>
          <w:szCs w:val="20"/>
          <w:lang w:val="en-GB" w:eastAsia="zh-CN"/>
        </w:rPr>
      </w:pPr>
      <w:r>
        <w:rPr>
          <w:rFonts w:eastAsia="宋体"/>
          <w:b/>
          <w:i/>
          <w:sz w:val="22"/>
          <w:szCs w:val="20"/>
          <w:lang w:val="en-GB" w:eastAsia="zh-CN"/>
        </w:rPr>
        <w:t>S</w:t>
      </w:r>
      <w:r w:rsidRPr="00811C84">
        <w:rPr>
          <w:rFonts w:eastAsia="宋体"/>
          <w:b/>
          <w:i/>
          <w:sz w:val="22"/>
          <w:szCs w:val="20"/>
          <w:lang w:val="en-GB" w:eastAsia="zh-CN"/>
        </w:rPr>
        <w:t xml:space="preserve">upport CSI-RS for mobility/RRM associated with a non-serving cell as measurement RS </w:t>
      </w:r>
    </w:p>
    <w:p w14:paraId="79952853" w14:textId="77777777" w:rsidR="00D84C67" w:rsidRDefault="00D84C67" w:rsidP="00D84C67">
      <w:pPr>
        <w:pStyle w:val="a5"/>
        <w:spacing w:before="120" w:after="100" w:afterAutospacing="1"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3</w:t>
      </w:r>
      <w:r w:rsidRPr="00023C28">
        <w:rPr>
          <w:rFonts w:eastAsia="宋体"/>
          <w:b/>
          <w:sz w:val="22"/>
          <w:szCs w:val="20"/>
          <w:lang w:val="en-GB" w:eastAsia="zh-CN"/>
        </w:rPr>
        <w:t xml:space="preserve">: </w:t>
      </w:r>
      <w:r>
        <w:rPr>
          <w:rFonts w:eastAsia="宋体"/>
          <w:b/>
          <w:i/>
          <w:sz w:val="22"/>
          <w:szCs w:val="20"/>
          <w:lang w:val="en-GB" w:eastAsia="zh-CN"/>
        </w:rPr>
        <w:t xml:space="preserve">Confirm the working assumption on using </w:t>
      </w:r>
      <w:r w:rsidRPr="00D14B1D">
        <w:rPr>
          <w:rFonts w:eastAsia="宋体"/>
          <w:b/>
          <w:i/>
          <w:sz w:val="22"/>
          <w:szCs w:val="20"/>
          <w:lang w:val="en-GB" w:eastAsia="zh-CN"/>
        </w:rPr>
        <w:t>Rel-17 MAC-CE-based and/or DCI-based beam indication</w:t>
      </w:r>
      <w:r>
        <w:rPr>
          <w:rFonts w:eastAsia="宋体"/>
          <w:b/>
          <w:i/>
          <w:sz w:val="22"/>
          <w:szCs w:val="20"/>
          <w:lang w:val="en-GB" w:eastAsia="zh-CN"/>
        </w:rPr>
        <w:t xml:space="preserve"> </w:t>
      </w:r>
      <w:r w:rsidRPr="00D14B1D">
        <w:rPr>
          <w:rFonts w:eastAsia="宋体"/>
          <w:b/>
          <w:i/>
          <w:sz w:val="22"/>
          <w:szCs w:val="20"/>
          <w:lang w:val="en-GB" w:eastAsia="zh-CN"/>
        </w:rPr>
        <w:t>for L1/L2-centric inter-cell mobility</w:t>
      </w:r>
      <w:r>
        <w:rPr>
          <w:rFonts w:eastAsia="宋体"/>
          <w:b/>
          <w:i/>
          <w:sz w:val="22"/>
          <w:szCs w:val="20"/>
          <w:lang w:val="en-GB" w:eastAsia="zh-CN"/>
        </w:rPr>
        <w:t>.</w:t>
      </w:r>
    </w:p>
    <w:p w14:paraId="59C8709D" w14:textId="77777777" w:rsidR="00D84C67" w:rsidRPr="00D84C67" w:rsidRDefault="00D84C67" w:rsidP="00D84C67">
      <w:pPr>
        <w:rPr>
          <w:rFonts w:eastAsia="宋体"/>
          <w:b/>
          <w:i/>
          <w:sz w:val="22"/>
          <w:szCs w:val="20"/>
          <w:lang w:val="en-GB" w:eastAsia="zh-CN"/>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D405A25"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EB2EBB" w:rsidRPr="00EB2EBB">
        <w:rPr>
          <w:rFonts w:eastAsiaTheme="minorEastAsia"/>
          <w:sz w:val="20"/>
          <w:lang w:eastAsia="zh-CN"/>
        </w:rPr>
        <w:t>211586</w:t>
      </w:r>
      <w:r w:rsidR="00381F4B">
        <w:rPr>
          <w:rFonts w:eastAsiaTheme="minorEastAsia"/>
          <w:sz w:val="20"/>
          <w:lang w:eastAsia="zh-CN"/>
        </w:rPr>
        <w:t>, “</w:t>
      </w:r>
      <w:r w:rsidR="00EB2EBB" w:rsidRPr="00EB2EBB">
        <w:rPr>
          <w:rFonts w:eastAsiaTheme="minorEastAsia"/>
          <w:sz w:val="20"/>
          <w:lang w:eastAsia="zh-CN"/>
        </w:rPr>
        <w:t>Revised WID: Further enhancements on MIMO for NR</w:t>
      </w:r>
      <w:r w:rsidR="00381F4B">
        <w:rPr>
          <w:rFonts w:eastAsiaTheme="minorEastAsia"/>
          <w:sz w:val="20"/>
          <w:lang w:eastAsia="zh-CN"/>
        </w:rPr>
        <w:t xml:space="preserve">”, </w:t>
      </w:r>
      <w:r w:rsidR="00EB2EBB">
        <w:rPr>
          <w:rFonts w:eastAsiaTheme="minorEastAsia"/>
          <w:sz w:val="20"/>
          <w:lang w:eastAsia="zh-CN"/>
        </w:rPr>
        <w:t>June</w:t>
      </w:r>
      <w:r w:rsidR="00381F4B">
        <w:rPr>
          <w:rFonts w:eastAsiaTheme="minorEastAsia"/>
          <w:sz w:val="20"/>
          <w:lang w:eastAsia="zh-CN"/>
        </w:rPr>
        <w:t xml:space="preserve"> 20</w:t>
      </w:r>
      <w:r w:rsidR="00EB2EBB">
        <w:rPr>
          <w:rFonts w:eastAsiaTheme="minorEastAsia"/>
          <w:sz w:val="20"/>
          <w:lang w:eastAsia="zh-CN"/>
        </w:rPr>
        <w:t>21</w:t>
      </w:r>
      <w:r w:rsidR="005F6CA1">
        <w:rPr>
          <w:rFonts w:eastAsiaTheme="minorEastAsia"/>
          <w:sz w:val="20"/>
          <w:lang w:eastAsia="zh-CN"/>
        </w:rPr>
        <w:t>.</w:t>
      </w:r>
    </w:p>
    <w:p w14:paraId="4D0343D7" w14:textId="339A4D18" w:rsidR="009648F5" w:rsidRDefault="009648F5" w:rsidP="009648F5">
      <w:pPr>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4265DE" w:rsidRPr="00FF795D">
        <w:rPr>
          <w:rFonts w:eastAsiaTheme="minorEastAsia"/>
          <w:sz w:val="20"/>
          <w:lang w:eastAsia="zh-CN"/>
        </w:rPr>
        <w:t>10</w:t>
      </w:r>
      <w:r w:rsidR="006F526C">
        <w:rPr>
          <w:rFonts w:eastAsiaTheme="minorEastAsia"/>
          <w:sz w:val="20"/>
          <w:lang w:eastAsia="zh-CN"/>
        </w:rPr>
        <w:t>5</w:t>
      </w:r>
      <w:r w:rsidRPr="00FF795D">
        <w:rPr>
          <w:rFonts w:eastAsiaTheme="minorEastAsia"/>
          <w:sz w:val="20"/>
          <w:lang w:eastAsia="zh-CN"/>
        </w:rPr>
        <w:t xml:space="preserve">_e Chairman’s Notes, </w:t>
      </w:r>
      <w:r w:rsidR="006F526C">
        <w:rPr>
          <w:rFonts w:eastAsiaTheme="minorEastAsia"/>
          <w:sz w:val="20"/>
          <w:lang w:eastAsia="zh-CN"/>
        </w:rPr>
        <w:t>May</w:t>
      </w:r>
      <w:r w:rsidR="00536B0D" w:rsidRPr="00FF795D">
        <w:rPr>
          <w:rFonts w:eastAsiaTheme="minorEastAsia"/>
          <w:sz w:val="20"/>
          <w:lang w:eastAsia="zh-CN"/>
        </w:rPr>
        <w:t xml:space="preserve"> </w:t>
      </w:r>
      <w:r w:rsidR="004265DE" w:rsidRPr="00FF795D">
        <w:rPr>
          <w:rFonts w:eastAsiaTheme="minorEastAsia"/>
          <w:sz w:val="20"/>
          <w:lang w:eastAsia="zh-CN"/>
        </w:rPr>
        <w:t>202</w:t>
      </w:r>
      <w:r w:rsidR="004265DE">
        <w:rPr>
          <w:rFonts w:eastAsiaTheme="minorEastAsia"/>
          <w:sz w:val="20"/>
          <w:lang w:eastAsia="zh-CN"/>
        </w:rPr>
        <w:t>1</w:t>
      </w:r>
      <w:r w:rsidRPr="00FF795D">
        <w:rPr>
          <w:rFonts w:eastAsiaTheme="minorEastAsia"/>
          <w:sz w:val="20"/>
          <w:lang w:eastAsia="zh-CN"/>
        </w:rPr>
        <w:t>.</w:t>
      </w:r>
    </w:p>
    <w:p w14:paraId="13D44061" w14:textId="0E3A900D" w:rsidR="00007139" w:rsidRPr="00E92961" w:rsidRDefault="00007139">
      <w:pPr>
        <w:rPr>
          <w:rFonts w:eastAsiaTheme="minorEastAsia"/>
          <w:sz w:val="20"/>
          <w:lang w:eastAsia="zh-CN"/>
        </w:rPr>
      </w:pPr>
    </w:p>
    <w:sectPr w:rsidR="00007139" w:rsidRPr="00E92961"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707E6" w14:textId="77777777" w:rsidR="007429D1" w:rsidRDefault="007429D1">
      <w:r>
        <w:separator/>
      </w:r>
    </w:p>
  </w:endnote>
  <w:endnote w:type="continuationSeparator" w:id="0">
    <w:p w14:paraId="23CCCEAA" w14:textId="77777777" w:rsidR="007429D1" w:rsidRDefault="0074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DBE7" w14:textId="77777777" w:rsidR="007429D1" w:rsidRDefault="007429D1">
      <w:r>
        <w:separator/>
      </w:r>
    </w:p>
  </w:footnote>
  <w:footnote w:type="continuationSeparator" w:id="0">
    <w:p w14:paraId="4BC08114" w14:textId="77777777" w:rsidR="007429D1" w:rsidRDefault="00742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0A06F6"/>
    <w:multiLevelType w:val="hybridMultilevel"/>
    <w:tmpl w:val="771603A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AB74B7"/>
    <w:multiLevelType w:val="hybridMultilevel"/>
    <w:tmpl w:val="CA523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FA64860"/>
    <w:multiLevelType w:val="hybridMultilevel"/>
    <w:tmpl w:val="C00291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2E4E2A"/>
    <w:multiLevelType w:val="hybridMultilevel"/>
    <w:tmpl w:val="CDB6560A"/>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1B">
      <w:start w:val="1"/>
      <w:numFmt w:val="lowerRoman"/>
      <w:lvlText w:val="%3."/>
      <w:lvlJc w:val="righ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1"/>
  </w:num>
  <w:num w:numId="4">
    <w:abstractNumId w:val="11"/>
  </w:num>
  <w:num w:numId="5">
    <w:abstractNumId w:val="25"/>
  </w:num>
  <w:num w:numId="6">
    <w:abstractNumId w:val="6"/>
  </w:num>
  <w:num w:numId="7">
    <w:abstractNumId w:val="17"/>
  </w:num>
  <w:num w:numId="8">
    <w:abstractNumId w:val="15"/>
  </w:num>
  <w:num w:numId="9">
    <w:abstractNumId w:val="1"/>
  </w:num>
  <w:num w:numId="10">
    <w:abstractNumId w:val="24"/>
  </w:num>
  <w:num w:numId="11">
    <w:abstractNumId w:val="18"/>
  </w:num>
  <w:num w:numId="12">
    <w:abstractNumId w:val="8"/>
  </w:num>
  <w:num w:numId="13">
    <w:abstractNumId w:val="4"/>
  </w:num>
  <w:num w:numId="14">
    <w:abstractNumId w:val="10"/>
  </w:num>
  <w:num w:numId="15">
    <w:abstractNumId w:val="7"/>
  </w:num>
  <w:num w:numId="16">
    <w:abstractNumId w:val="23"/>
  </w:num>
  <w:num w:numId="17">
    <w:abstractNumId w:val="5"/>
  </w:num>
  <w:num w:numId="18">
    <w:abstractNumId w:val="22"/>
  </w:num>
  <w:num w:numId="19">
    <w:abstractNumId w:val="2"/>
  </w:num>
  <w:num w:numId="20">
    <w:abstractNumId w:val="9"/>
  </w:num>
  <w:num w:numId="21">
    <w:abstractNumId w:val="19"/>
  </w:num>
  <w:num w:numId="22">
    <w:abstractNumId w:val="14"/>
  </w:num>
  <w:num w:numId="23">
    <w:abstractNumId w:val="12"/>
  </w:num>
  <w:num w:numId="24">
    <w:abstractNumId w:val="16"/>
  </w:num>
  <w:num w:numId="25">
    <w:abstractNumId w:val="13"/>
  </w:num>
  <w:num w:numId="2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498"/>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8C4"/>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6FB1"/>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5FA"/>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7F8"/>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6E1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001"/>
    <w:rsid w:val="00096146"/>
    <w:rsid w:val="00096252"/>
    <w:rsid w:val="000962B8"/>
    <w:rsid w:val="00096465"/>
    <w:rsid w:val="0009653B"/>
    <w:rsid w:val="000969B8"/>
    <w:rsid w:val="00096AAC"/>
    <w:rsid w:val="00097000"/>
    <w:rsid w:val="00097143"/>
    <w:rsid w:val="0009718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458"/>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13A"/>
    <w:rsid w:val="000B47AC"/>
    <w:rsid w:val="000B49DC"/>
    <w:rsid w:val="000B4A96"/>
    <w:rsid w:val="000B4AA9"/>
    <w:rsid w:val="000B4E0F"/>
    <w:rsid w:val="000B53CA"/>
    <w:rsid w:val="000B554A"/>
    <w:rsid w:val="000B5ECC"/>
    <w:rsid w:val="000B5F5F"/>
    <w:rsid w:val="000B627E"/>
    <w:rsid w:val="000B7189"/>
    <w:rsid w:val="000B757A"/>
    <w:rsid w:val="000B7650"/>
    <w:rsid w:val="000B777D"/>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7A"/>
    <w:rsid w:val="000C6B99"/>
    <w:rsid w:val="000C7209"/>
    <w:rsid w:val="000C723A"/>
    <w:rsid w:val="000C7400"/>
    <w:rsid w:val="000C7508"/>
    <w:rsid w:val="000C78E6"/>
    <w:rsid w:val="000C79DD"/>
    <w:rsid w:val="000C7C34"/>
    <w:rsid w:val="000C7D04"/>
    <w:rsid w:val="000D006F"/>
    <w:rsid w:val="000D0120"/>
    <w:rsid w:val="000D039E"/>
    <w:rsid w:val="000D062A"/>
    <w:rsid w:val="000D075A"/>
    <w:rsid w:val="000D0789"/>
    <w:rsid w:val="000D0C9C"/>
    <w:rsid w:val="000D0ED3"/>
    <w:rsid w:val="000D0F26"/>
    <w:rsid w:val="000D1624"/>
    <w:rsid w:val="000D1856"/>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8D3"/>
    <w:rsid w:val="00112ADE"/>
    <w:rsid w:val="001130E5"/>
    <w:rsid w:val="00113759"/>
    <w:rsid w:val="00113BCA"/>
    <w:rsid w:val="00113C7E"/>
    <w:rsid w:val="00113CF9"/>
    <w:rsid w:val="001141BD"/>
    <w:rsid w:val="00114279"/>
    <w:rsid w:val="001143F5"/>
    <w:rsid w:val="00114527"/>
    <w:rsid w:val="001148CD"/>
    <w:rsid w:val="001148DD"/>
    <w:rsid w:val="00114F04"/>
    <w:rsid w:val="00114F92"/>
    <w:rsid w:val="001157DA"/>
    <w:rsid w:val="00115B57"/>
    <w:rsid w:val="00115F0F"/>
    <w:rsid w:val="00115F7B"/>
    <w:rsid w:val="00115FAC"/>
    <w:rsid w:val="00116376"/>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9E6"/>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D1"/>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56D"/>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671"/>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B93"/>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7101"/>
    <w:rsid w:val="001979CD"/>
    <w:rsid w:val="00197AE7"/>
    <w:rsid w:val="00197D4D"/>
    <w:rsid w:val="001A0233"/>
    <w:rsid w:val="001A0564"/>
    <w:rsid w:val="001A058F"/>
    <w:rsid w:val="001A0883"/>
    <w:rsid w:val="001A0B47"/>
    <w:rsid w:val="001A112E"/>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3736"/>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1BD6"/>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194"/>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5F2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C24"/>
    <w:rsid w:val="00233E44"/>
    <w:rsid w:val="00233ECC"/>
    <w:rsid w:val="002340BA"/>
    <w:rsid w:val="0023426D"/>
    <w:rsid w:val="00234299"/>
    <w:rsid w:val="00234322"/>
    <w:rsid w:val="002344B1"/>
    <w:rsid w:val="002345C3"/>
    <w:rsid w:val="002346FD"/>
    <w:rsid w:val="00234764"/>
    <w:rsid w:val="002347CB"/>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DAD"/>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8D"/>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E9E"/>
    <w:rsid w:val="002A5EF0"/>
    <w:rsid w:val="002A6002"/>
    <w:rsid w:val="002A6152"/>
    <w:rsid w:val="002A62F0"/>
    <w:rsid w:val="002A6571"/>
    <w:rsid w:val="002A672B"/>
    <w:rsid w:val="002A67F2"/>
    <w:rsid w:val="002A6925"/>
    <w:rsid w:val="002A6950"/>
    <w:rsid w:val="002A6A94"/>
    <w:rsid w:val="002A6C1A"/>
    <w:rsid w:val="002A6ED5"/>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804"/>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5DCC"/>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2B6"/>
    <w:rsid w:val="002D63E8"/>
    <w:rsid w:val="002D68C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6"/>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DA7"/>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051"/>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54"/>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E99"/>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A1D"/>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4E25"/>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273"/>
    <w:rsid w:val="00394347"/>
    <w:rsid w:val="0039449E"/>
    <w:rsid w:val="00394574"/>
    <w:rsid w:val="00394854"/>
    <w:rsid w:val="00394D1C"/>
    <w:rsid w:val="00394EC7"/>
    <w:rsid w:val="00395596"/>
    <w:rsid w:val="003955E0"/>
    <w:rsid w:val="003955F7"/>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815"/>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AE"/>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314"/>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861"/>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5DC2"/>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5DE"/>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51B"/>
    <w:rsid w:val="004369F7"/>
    <w:rsid w:val="00436F32"/>
    <w:rsid w:val="00437120"/>
    <w:rsid w:val="00437130"/>
    <w:rsid w:val="00437240"/>
    <w:rsid w:val="00437376"/>
    <w:rsid w:val="004375D1"/>
    <w:rsid w:val="00437C17"/>
    <w:rsid w:val="00437D2B"/>
    <w:rsid w:val="0044039F"/>
    <w:rsid w:val="00440495"/>
    <w:rsid w:val="00440770"/>
    <w:rsid w:val="00440864"/>
    <w:rsid w:val="0044097C"/>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60E"/>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D6"/>
    <w:rsid w:val="00466D2B"/>
    <w:rsid w:val="00466D71"/>
    <w:rsid w:val="00466EAF"/>
    <w:rsid w:val="004670A3"/>
    <w:rsid w:val="004673E6"/>
    <w:rsid w:val="00467703"/>
    <w:rsid w:val="0046771C"/>
    <w:rsid w:val="00467758"/>
    <w:rsid w:val="00467787"/>
    <w:rsid w:val="004678C2"/>
    <w:rsid w:val="00470338"/>
    <w:rsid w:val="00470625"/>
    <w:rsid w:val="00470716"/>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8D5"/>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534"/>
    <w:rsid w:val="004B5A91"/>
    <w:rsid w:val="004B5BE6"/>
    <w:rsid w:val="004B6086"/>
    <w:rsid w:val="004B61E3"/>
    <w:rsid w:val="004B6270"/>
    <w:rsid w:val="004B65D6"/>
    <w:rsid w:val="004B6CA9"/>
    <w:rsid w:val="004B6F72"/>
    <w:rsid w:val="004B7055"/>
    <w:rsid w:val="004B714B"/>
    <w:rsid w:val="004B7291"/>
    <w:rsid w:val="004B7598"/>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477"/>
    <w:rsid w:val="004E060B"/>
    <w:rsid w:val="004E0646"/>
    <w:rsid w:val="004E0701"/>
    <w:rsid w:val="004E078F"/>
    <w:rsid w:val="004E0995"/>
    <w:rsid w:val="004E0DDD"/>
    <w:rsid w:val="004E0F89"/>
    <w:rsid w:val="004E117F"/>
    <w:rsid w:val="004E118A"/>
    <w:rsid w:val="004E1493"/>
    <w:rsid w:val="004E1584"/>
    <w:rsid w:val="004E1D5B"/>
    <w:rsid w:val="004E1E8B"/>
    <w:rsid w:val="004E21C4"/>
    <w:rsid w:val="004E23D2"/>
    <w:rsid w:val="004E2635"/>
    <w:rsid w:val="004E2999"/>
    <w:rsid w:val="004E2D7E"/>
    <w:rsid w:val="004E2E67"/>
    <w:rsid w:val="004E317C"/>
    <w:rsid w:val="004E325D"/>
    <w:rsid w:val="004E3281"/>
    <w:rsid w:val="004E3333"/>
    <w:rsid w:val="004E3372"/>
    <w:rsid w:val="004E36F1"/>
    <w:rsid w:val="004E3FFF"/>
    <w:rsid w:val="004E4008"/>
    <w:rsid w:val="004E4662"/>
    <w:rsid w:val="004E4E39"/>
    <w:rsid w:val="004E51A6"/>
    <w:rsid w:val="004E5255"/>
    <w:rsid w:val="004E55A3"/>
    <w:rsid w:val="004E5873"/>
    <w:rsid w:val="004E5A7D"/>
    <w:rsid w:val="004E5A9B"/>
    <w:rsid w:val="004E600E"/>
    <w:rsid w:val="004E627D"/>
    <w:rsid w:val="004E639C"/>
    <w:rsid w:val="004E6682"/>
    <w:rsid w:val="004E66F4"/>
    <w:rsid w:val="004E68BA"/>
    <w:rsid w:val="004E691F"/>
    <w:rsid w:val="004E6B15"/>
    <w:rsid w:val="004E6F9C"/>
    <w:rsid w:val="004E74A2"/>
    <w:rsid w:val="004E7628"/>
    <w:rsid w:val="004E7780"/>
    <w:rsid w:val="004E78E2"/>
    <w:rsid w:val="004E7929"/>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284"/>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5CB"/>
    <w:rsid w:val="00507CAC"/>
    <w:rsid w:val="005103D3"/>
    <w:rsid w:val="00510888"/>
    <w:rsid w:val="00510AD9"/>
    <w:rsid w:val="00510DFE"/>
    <w:rsid w:val="005111D0"/>
    <w:rsid w:val="00511A4C"/>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35E"/>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6E1"/>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77"/>
    <w:rsid w:val="005360D2"/>
    <w:rsid w:val="005361B1"/>
    <w:rsid w:val="005367B2"/>
    <w:rsid w:val="005369E0"/>
    <w:rsid w:val="005369E6"/>
    <w:rsid w:val="00536A53"/>
    <w:rsid w:val="00536B0D"/>
    <w:rsid w:val="00536C80"/>
    <w:rsid w:val="0053724E"/>
    <w:rsid w:val="00537323"/>
    <w:rsid w:val="0053735E"/>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B36"/>
    <w:rsid w:val="00541C02"/>
    <w:rsid w:val="00541C28"/>
    <w:rsid w:val="00541E9F"/>
    <w:rsid w:val="005421D8"/>
    <w:rsid w:val="00542204"/>
    <w:rsid w:val="005422D8"/>
    <w:rsid w:val="00542317"/>
    <w:rsid w:val="005427C3"/>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881"/>
    <w:rsid w:val="005978CC"/>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20F8"/>
    <w:rsid w:val="005A23DB"/>
    <w:rsid w:val="005A2440"/>
    <w:rsid w:val="005A2A59"/>
    <w:rsid w:val="005A2D19"/>
    <w:rsid w:val="005A2E94"/>
    <w:rsid w:val="005A311C"/>
    <w:rsid w:val="005A373D"/>
    <w:rsid w:val="005A3C49"/>
    <w:rsid w:val="005A3DD4"/>
    <w:rsid w:val="005A3E2B"/>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26"/>
    <w:rsid w:val="005B07B0"/>
    <w:rsid w:val="005B0826"/>
    <w:rsid w:val="005B08B2"/>
    <w:rsid w:val="005B08DE"/>
    <w:rsid w:val="005B0DDD"/>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512"/>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CD0"/>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C44"/>
    <w:rsid w:val="005F6CA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2F6"/>
    <w:rsid w:val="00610476"/>
    <w:rsid w:val="006105B7"/>
    <w:rsid w:val="0061066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28BC"/>
    <w:rsid w:val="00612DA8"/>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E15"/>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4B4"/>
    <w:rsid w:val="006215F4"/>
    <w:rsid w:val="00621609"/>
    <w:rsid w:val="006218A3"/>
    <w:rsid w:val="00621AF8"/>
    <w:rsid w:val="00621CB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9BA"/>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803"/>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A9"/>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47C"/>
    <w:rsid w:val="006B15F3"/>
    <w:rsid w:val="006B168C"/>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2F1"/>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996"/>
    <w:rsid w:val="006E6C94"/>
    <w:rsid w:val="006E6DE3"/>
    <w:rsid w:val="006E6E35"/>
    <w:rsid w:val="006E766E"/>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143"/>
    <w:rsid w:val="006F526C"/>
    <w:rsid w:val="006F545B"/>
    <w:rsid w:val="006F594F"/>
    <w:rsid w:val="006F5ECC"/>
    <w:rsid w:val="006F63C9"/>
    <w:rsid w:val="006F667E"/>
    <w:rsid w:val="006F6A99"/>
    <w:rsid w:val="006F6E2C"/>
    <w:rsid w:val="006F6E2E"/>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72"/>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2FB"/>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9D1"/>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5F81"/>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4F5B"/>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41C"/>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A7A"/>
    <w:rsid w:val="00791BCC"/>
    <w:rsid w:val="007920D1"/>
    <w:rsid w:val="00792166"/>
    <w:rsid w:val="00792673"/>
    <w:rsid w:val="0079276C"/>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1"/>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2D"/>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05"/>
    <w:rsid w:val="007D6E7C"/>
    <w:rsid w:val="007D6F08"/>
    <w:rsid w:val="007D6F4B"/>
    <w:rsid w:val="007D754F"/>
    <w:rsid w:val="007D7599"/>
    <w:rsid w:val="007D7BA0"/>
    <w:rsid w:val="007D7D55"/>
    <w:rsid w:val="007E033A"/>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3B"/>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96C"/>
    <w:rsid w:val="00807C04"/>
    <w:rsid w:val="00807CB2"/>
    <w:rsid w:val="00807D56"/>
    <w:rsid w:val="00810136"/>
    <w:rsid w:val="008101DE"/>
    <w:rsid w:val="00810620"/>
    <w:rsid w:val="00810D11"/>
    <w:rsid w:val="00810EA2"/>
    <w:rsid w:val="00810F53"/>
    <w:rsid w:val="008118E1"/>
    <w:rsid w:val="008119FF"/>
    <w:rsid w:val="00811C84"/>
    <w:rsid w:val="00811DC7"/>
    <w:rsid w:val="008122B1"/>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28"/>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33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073"/>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F50"/>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B34"/>
    <w:rsid w:val="00862DBA"/>
    <w:rsid w:val="00862DD4"/>
    <w:rsid w:val="00862EB4"/>
    <w:rsid w:val="00862FBA"/>
    <w:rsid w:val="0086305F"/>
    <w:rsid w:val="008630EB"/>
    <w:rsid w:val="00863140"/>
    <w:rsid w:val="0086363E"/>
    <w:rsid w:val="0086364E"/>
    <w:rsid w:val="00863777"/>
    <w:rsid w:val="00863832"/>
    <w:rsid w:val="00863A20"/>
    <w:rsid w:val="00863B69"/>
    <w:rsid w:val="00863FEC"/>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15D"/>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757"/>
    <w:rsid w:val="00895AE7"/>
    <w:rsid w:val="00895F5B"/>
    <w:rsid w:val="008962A9"/>
    <w:rsid w:val="00896423"/>
    <w:rsid w:val="00896437"/>
    <w:rsid w:val="00896DA5"/>
    <w:rsid w:val="008972B1"/>
    <w:rsid w:val="00897338"/>
    <w:rsid w:val="008973F6"/>
    <w:rsid w:val="00897432"/>
    <w:rsid w:val="0089749A"/>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26C"/>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177"/>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745"/>
    <w:rsid w:val="008D0806"/>
    <w:rsid w:val="008D0BD9"/>
    <w:rsid w:val="008D0D25"/>
    <w:rsid w:val="008D1558"/>
    <w:rsid w:val="008D1790"/>
    <w:rsid w:val="008D1A0C"/>
    <w:rsid w:val="008D25A3"/>
    <w:rsid w:val="008D2629"/>
    <w:rsid w:val="008D265D"/>
    <w:rsid w:val="008D278A"/>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9F4"/>
    <w:rsid w:val="008E1A59"/>
    <w:rsid w:val="008E1DAF"/>
    <w:rsid w:val="008E1E01"/>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1F"/>
    <w:rsid w:val="00913150"/>
    <w:rsid w:val="009133B6"/>
    <w:rsid w:val="009138E9"/>
    <w:rsid w:val="00913B38"/>
    <w:rsid w:val="00913CA0"/>
    <w:rsid w:val="00913D46"/>
    <w:rsid w:val="009140A4"/>
    <w:rsid w:val="009141E7"/>
    <w:rsid w:val="0091427D"/>
    <w:rsid w:val="009145A6"/>
    <w:rsid w:val="009147DB"/>
    <w:rsid w:val="0091495E"/>
    <w:rsid w:val="00914988"/>
    <w:rsid w:val="00914CF9"/>
    <w:rsid w:val="00914FAF"/>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E03"/>
    <w:rsid w:val="00917F7A"/>
    <w:rsid w:val="00920102"/>
    <w:rsid w:val="009201B0"/>
    <w:rsid w:val="009204AE"/>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DEC"/>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06C"/>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4CF"/>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B6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0A"/>
    <w:rsid w:val="009D7DCF"/>
    <w:rsid w:val="009E037E"/>
    <w:rsid w:val="009E048A"/>
    <w:rsid w:val="009E06DF"/>
    <w:rsid w:val="009E0830"/>
    <w:rsid w:val="009E0E36"/>
    <w:rsid w:val="009E0F93"/>
    <w:rsid w:val="009E1166"/>
    <w:rsid w:val="009E14B5"/>
    <w:rsid w:val="009E178D"/>
    <w:rsid w:val="009E1CA0"/>
    <w:rsid w:val="009E2757"/>
    <w:rsid w:val="009E28F3"/>
    <w:rsid w:val="009E2AC9"/>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4E4"/>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855"/>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AC6"/>
    <w:rsid w:val="00A16AF7"/>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4D"/>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9BE"/>
    <w:rsid w:val="00A35A09"/>
    <w:rsid w:val="00A35E02"/>
    <w:rsid w:val="00A35F1F"/>
    <w:rsid w:val="00A35F45"/>
    <w:rsid w:val="00A36367"/>
    <w:rsid w:val="00A363D5"/>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52"/>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4C"/>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6EE"/>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510"/>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3A3"/>
    <w:rsid w:val="00A853B9"/>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4F5"/>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A3C"/>
    <w:rsid w:val="00AA4B6C"/>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8E5"/>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6570"/>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4D0E"/>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1973"/>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1EA"/>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499"/>
    <w:rsid w:val="00B32581"/>
    <w:rsid w:val="00B329B2"/>
    <w:rsid w:val="00B32AC4"/>
    <w:rsid w:val="00B32E61"/>
    <w:rsid w:val="00B33873"/>
    <w:rsid w:val="00B33A8B"/>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8AF"/>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AE2"/>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0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0C"/>
    <w:rsid w:val="00BB4E4E"/>
    <w:rsid w:val="00BB50F0"/>
    <w:rsid w:val="00BB52A0"/>
    <w:rsid w:val="00BB5901"/>
    <w:rsid w:val="00BB5D92"/>
    <w:rsid w:val="00BB5E64"/>
    <w:rsid w:val="00BB6214"/>
    <w:rsid w:val="00BB65B3"/>
    <w:rsid w:val="00BB69C3"/>
    <w:rsid w:val="00BB6B5E"/>
    <w:rsid w:val="00BB6F72"/>
    <w:rsid w:val="00BB70BD"/>
    <w:rsid w:val="00BB717E"/>
    <w:rsid w:val="00BB7201"/>
    <w:rsid w:val="00BB77EE"/>
    <w:rsid w:val="00BB7E96"/>
    <w:rsid w:val="00BC01CB"/>
    <w:rsid w:val="00BC02A3"/>
    <w:rsid w:val="00BC09B5"/>
    <w:rsid w:val="00BC0C4C"/>
    <w:rsid w:val="00BC0D98"/>
    <w:rsid w:val="00BC106B"/>
    <w:rsid w:val="00BC13C8"/>
    <w:rsid w:val="00BC14A9"/>
    <w:rsid w:val="00BC178C"/>
    <w:rsid w:val="00BC1987"/>
    <w:rsid w:val="00BC1A64"/>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1C"/>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9C5"/>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1288"/>
    <w:rsid w:val="00BF136F"/>
    <w:rsid w:val="00BF1510"/>
    <w:rsid w:val="00BF190B"/>
    <w:rsid w:val="00BF1A7B"/>
    <w:rsid w:val="00BF1AC1"/>
    <w:rsid w:val="00BF1AE9"/>
    <w:rsid w:val="00BF1D28"/>
    <w:rsid w:val="00BF1D49"/>
    <w:rsid w:val="00BF247D"/>
    <w:rsid w:val="00BF2501"/>
    <w:rsid w:val="00BF267D"/>
    <w:rsid w:val="00BF285B"/>
    <w:rsid w:val="00BF29E4"/>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27A"/>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DD"/>
    <w:rsid w:val="00C418EE"/>
    <w:rsid w:val="00C41E89"/>
    <w:rsid w:val="00C4208D"/>
    <w:rsid w:val="00C42294"/>
    <w:rsid w:val="00C4241B"/>
    <w:rsid w:val="00C42540"/>
    <w:rsid w:val="00C42B0D"/>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5F8E"/>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A4E"/>
    <w:rsid w:val="00C67C69"/>
    <w:rsid w:val="00C67EDD"/>
    <w:rsid w:val="00C67F94"/>
    <w:rsid w:val="00C67FE1"/>
    <w:rsid w:val="00C7046B"/>
    <w:rsid w:val="00C70541"/>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6EA"/>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B76"/>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1B"/>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36"/>
    <w:rsid w:val="00CC5A95"/>
    <w:rsid w:val="00CC6448"/>
    <w:rsid w:val="00CC68DB"/>
    <w:rsid w:val="00CC6A21"/>
    <w:rsid w:val="00CC6B20"/>
    <w:rsid w:val="00CC6C19"/>
    <w:rsid w:val="00CC6F03"/>
    <w:rsid w:val="00CC7201"/>
    <w:rsid w:val="00CC724C"/>
    <w:rsid w:val="00CC74BD"/>
    <w:rsid w:val="00CC754D"/>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CCE"/>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2FD4"/>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13"/>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4B1D"/>
    <w:rsid w:val="00D15360"/>
    <w:rsid w:val="00D1551E"/>
    <w:rsid w:val="00D15670"/>
    <w:rsid w:val="00D1586E"/>
    <w:rsid w:val="00D162F0"/>
    <w:rsid w:val="00D16459"/>
    <w:rsid w:val="00D165AF"/>
    <w:rsid w:val="00D17182"/>
    <w:rsid w:val="00D17325"/>
    <w:rsid w:val="00D174ED"/>
    <w:rsid w:val="00D17A8A"/>
    <w:rsid w:val="00D17ACE"/>
    <w:rsid w:val="00D17B64"/>
    <w:rsid w:val="00D17C3D"/>
    <w:rsid w:val="00D17EFE"/>
    <w:rsid w:val="00D17F91"/>
    <w:rsid w:val="00D17F9C"/>
    <w:rsid w:val="00D2007F"/>
    <w:rsid w:val="00D2012B"/>
    <w:rsid w:val="00D205F1"/>
    <w:rsid w:val="00D20707"/>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338"/>
    <w:rsid w:val="00D408F2"/>
    <w:rsid w:val="00D40942"/>
    <w:rsid w:val="00D4099B"/>
    <w:rsid w:val="00D41054"/>
    <w:rsid w:val="00D411D8"/>
    <w:rsid w:val="00D4174D"/>
    <w:rsid w:val="00D41927"/>
    <w:rsid w:val="00D4198F"/>
    <w:rsid w:val="00D41DB5"/>
    <w:rsid w:val="00D42285"/>
    <w:rsid w:val="00D425D0"/>
    <w:rsid w:val="00D426E8"/>
    <w:rsid w:val="00D42A18"/>
    <w:rsid w:val="00D42A40"/>
    <w:rsid w:val="00D42B42"/>
    <w:rsid w:val="00D436A8"/>
    <w:rsid w:val="00D4381B"/>
    <w:rsid w:val="00D441C2"/>
    <w:rsid w:val="00D44323"/>
    <w:rsid w:val="00D4449D"/>
    <w:rsid w:val="00D444A3"/>
    <w:rsid w:val="00D44851"/>
    <w:rsid w:val="00D44A32"/>
    <w:rsid w:val="00D44DCB"/>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305"/>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302"/>
    <w:rsid w:val="00D5658F"/>
    <w:rsid w:val="00D565E4"/>
    <w:rsid w:val="00D566E9"/>
    <w:rsid w:val="00D568E2"/>
    <w:rsid w:val="00D56C82"/>
    <w:rsid w:val="00D56F75"/>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2E"/>
    <w:rsid w:val="00D67E8E"/>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BD8"/>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67"/>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2D7"/>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12B"/>
    <w:rsid w:val="00D95231"/>
    <w:rsid w:val="00D955E8"/>
    <w:rsid w:val="00D95613"/>
    <w:rsid w:val="00D95E19"/>
    <w:rsid w:val="00D968E0"/>
    <w:rsid w:val="00D96A30"/>
    <w:rsid w:val="00D96A5A"/>
    <w:rsid w:val="00D96AAD"/>
    <w:rsid w:val="00D96DC5"/>
    <w:rsid w:val="00D97034"/>
    <w:rsid w:val="00D97053"/>
    <w:rsid w:val="00D972FD"/>
    <w:rsid w:val="00D973CA"/>
    <w:rsid w:val="00D97528"/>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35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966"/>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462"/>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E6B"/>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1D5E"/>
    <w:rsid w:val="00E12143"/>
    <w:rsid w:val="00E126A4"/>
    <w:rsid w:val="00E127F1"/>
    <w:rsid w:val="00E12BB7"/>
    <w:rsid w:val="00E12E75"/>
    <w:rsid w:val="00E12E87"/>
    <w:rsid w:val="00E12FE7"/>
    <w:rsid w:val="00E130B6"/>
    <w:rsid w:val="00E13207"/>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128"/>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0F6"/>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0CE"/>
    <w:rsid w:val="00E52256"/>
    <w:rsid w:val="00E5276C"/>
    <w:rsid w:val="00E52D87"/>
    <w:rsid w:val="00E52E36"/>
    <w:rsid w:val="00E52F17"/>
    <w:rsid w:val="00E53724"/>
    <w:rsid w:val="00E5390B"/>
    <w:rsid w:val="00E5392B"/>
    <w:rsid w:val="00E539B4"/>
    <w:rsid w:val="00E53D3F"/>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17"/>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4CE5"/>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702"/>
    <w:rsid w:val="00E92961"/>
    <w:rsid w:val="00E92C60"/>
    <w:rsid w:val="00E92CC9"/>
    <w:rsid w:val="00E92DC6"/>
    <w:rsid w:val="00E93086"/>
    <w:rsid w:val="00E9336A"/>
    <w:rsid w:val="00E93535"/>
    <w:rsid w:val="00E9399A"/>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D95"/>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EBB"/>
    <w:rsid w:val="00EB2F01"/>
    <w:rsid w:val="00EB36C3"/>
    <w:rsid w:val="00EB39BD"/>
    <w:rsid w:val="00EB4280"/>
    <w:rsid w:val="00EB4371"/>
    <w:rsid w:val="00EB48DE"/>
    <w:rsid w:val="00EB49BB"/>
    <w:rsid w:val="00EB50D7"/>
    <w:rsid w:val="00EB5CDC"/>
    <w:rsid w:val="00EB5D86"/>
    <w:rsid w:val="00EB6207"/>
    <w:rsid w:val="00EB63E9"/>
    <w:rsid w:val="00EB670F"/>
    <w:rsid w:val="00EB674A"/>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6D8"/>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E9D"/>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20B"/>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07"/>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4BC"/>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728"/>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494"/>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83E"/>
    <w:rsid w:val="00F609EC"/>
    <w:rsid w:val="00F60A0C"/>
    <w:rsid w:val="00F60E57"/>
    <w:rsid w:val="00F6116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61D"/>
    <w:rsid w:val="00F8195A"/>
    <w:rsid w:val="00F819A8"/>
    <w:rsid w:val="00F8214F"/>
    <w:rsid w:val="00F823F0"/>
    <w:rsid w:val="00F82948"/>
    <w:rsid w:val="00F82A3E"/>
    <w:rsid w:val="00F82BCD"/>
    <w:rsid w:val="00F82BD9"/>
    <w:rsid w:val="00F83133"/>
    <w:rsid w:val="00F83261"/>
    <w:rsid w:val="00F8333F"/>
    <w:rsid w:val="00F833B6"/>
    <w:rsid w:val="00F8360D"/>
    <w:rsid w:val="00F83795"/>
    <w:rsid w:val="00F837FC"/>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F8"/>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79F"/>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ñ弌’i"/>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913167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2021-08-06T00:25:00Z</dcterms:modified>
</cp:coreProperties>
</file>